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0228" w14:textId="77777777" w:rsidR="00744A07" w:rsidRDefault="001C3E56" w:rsidP="008E2B17">
      <w:pPr>
        <w:rPr>
          <w:b/>
          <w:bCs/>
          <w:sz w:val="24"/>
          <w:szCs w:val="24"/>
        </w:rPr>
      </w:pPr>
      <w:r w:rsidRPr="00744A07">
        <w:rPr>
          <w:b/>
          <w:bCs/>
          <w:sz w:val="24"/>
          <w:szCs w:val="24"/>
        </w:rPr>
        <w:t xml:space="preserve">ELENCO DELLE ATTIVITA’ CON EMISSIONI IN DEROGA </w:t>
      </w:r>
    </w:p>
    <w:p w14:paraId="0338D482" w14:textId="35148116" w:rsidR="008E2B17" w:rsidRPr="00744A07" w:rsidRDefault="001C3E56" w:rsidP="008E2B17">
      <w:pPr>
        <w:rPr>
          <w:b/>
          <w:bCs/>
          <w:sz w:val="24"/>
          <w:szCs w:val="24"/>
        </w:rPr>
      </w:pPr>
      <w:r w:rsidRPr="00744A07">
        <w:rPr>
          <w:b/>
          <w:bCs/>
          <w:sz w:val="24"/>
          <w:szCs w:val="24"/>
        </w:rPr>
        <w:t>(art.272 c.2</w:t>
      </w:r>
      <w:r w:rsidR="00744A07" w:rsidRPr="00744A07">
        <w:rPr>
          <w:b/>
          <w:bCs/>
          <w:sz w:val="24"/>
          <w:szCs w:val="24"/>
        </w:rPr>
        <w:t xml:space="preserve"> Dlgs. 152/2006 e </w:t>
      </w:r>
      <w:proofErr w:type="spellStart"/>
      <w:r w:rsidR="00744A07" w:rsidRPr="00744A07">
        <w:rPr>
          <w:b/>
          <w:bCs/>
          <w:sz w:val="24"/>
          <w:szCs w:val="24"/>
        </w:rPr>
        <w:t>smi</w:t>
      </w:r>
      <w:proofErr w:type="spellEnd"/>
      <w:r w:rsidR="00744A07" w:rsidRPr="00744A07">
        <w:rPr>
          <w:b/>
          <w:bCs/>
          <w:sz w:val="24"/>
          <w:szCs w:val="24"/>
        </w:rPr>
        <w:t>)</w:t>
      </w:r>
    </w:p>
    <w:p w14:paraId="5CE5B629" w14:textId="7A47A406" w:rsidR="001C3E56" w:rsidRDefault="001C3E56" w:rsidP="004E7A3D">
      <w:pPr>
        <w:jc w:val="both"/>
      </w:pPr>
      <w:proofErr w:type="spellStart"/>
      <w:r>
        <w:t>L</w:t>
      </w:r>
      <w:r w:rsidR="00F4760D">
        <w:t>”</w:t>
      </w:r>
      <w:r w:rsidRPr="00F4760D">
        <w:rPr>
          <w:b/>
          <w:bCs/>
        </w:rPr>
        <w:t>allegato</w:t>
      </w:r>
      <w:proofErr w:type="spellEnd"/>
      <w:r w:rsidRPr="00F4760D">
        <w:rPr>
          <w:b/>
          <w:bCs/>
        </w:rPr>
        <w:t xml:space="preserve"> tecnico</w:t>
      </w:r>
      <w:r w:rsidR="00F4760D">
        <w:t>”</w:t>
      </w:r>
      <w:r>
        <w:t xml:space="preserve"> linkato </w:t>
      </w:r>
      <w:r w:rsidR="00F4760D">
        <w:t xml:space="preserve">nell’elenco che segue </w:t>
      </w:r>
      <w:r>
        <w:t xml:space="preserve">contiene la descrizione dell’attività e le caratteristiche che deve avere per poter essere inquadrata “in deroga” ovvero per poter beneficiare di un regime autorizzativo semplificato, che consiste nell’aderire all’allegato tecnico, dichiarando di rispettare le condizioni </w:t>
      </w:r>
      <w:r w:rsidR="00F4760D">
        <w:t>ivi</w:t>
      </w:r>
      <w:r>
        <w:t xml:space="preserve"> indicate.</w:t>
      </w:r>
    </w:p>
    <w:p w14:paraId="7CBC7297" w14:textId="329AEE7E" w:rsidR="001C3E56" w:rsidRDefault="001C3E56" w:rsidP="004E7A3D">
      <w:pPr>
        <w:jc w:val="both"/>
      </w:pPr>
      <w:proofErr w:type="gramStart"/>
      <w:r>
        <w:t>E’</w:t>
      </w:r>
      <w:proofErr w:type="gramEnd"/>
      <w:r>
        <w:t xml:space="preserve"> possibile che un’impresa svolga attività che ricadono sotto uno o più allegati tecnici.</w:t>
      </w:r>
    </w:p>
    <w:p w14:paraId="7CBC2A0B" w14:textId="53C9B7BB" w:rsidR="001C3E56" w:rsidRDefault="004E7A3D" w:rsidP="004E7A3D">
      <w:pPr>
        <w:jc w:val="both"/>
      </w:pPr>
      <w:r>
        <w:t>La “</w:t>
      </w:r>
      <w:r w:rsidRPr="00F4760D">
        <w:rPr>
          <w:b/>
          <w:bCs/>
        </w:rPr>
        <w:t>Relazione tecnica semplificata</w:t>
      </w:r>
      <w:r>
        <w:t xml:space="preserve">” </w:t>
      </w:r>
      <w:r w:rsidR="00F4760D">
        <w:t>a sua volta</w:t>
      </w:r>
      <w:r>
        <w:t xml:space="preserve"> linkata </w:t>
      </w:r>
      <w:r w:rsidR="00F4760D">
        <w:t xml:space="preserve">nel seguente elenco </w:t>
      </w:r>
      <w:r>
        <w:t>è il modulo sul quale dichiarare le proprie attività e identificare i punti di emissione, con i relativi inquinanti e gli eventuali sistemi di abbattimento.</w:t>
      </w:r>
    </w:p>
    <w:p w14:paraId="4B45B8A8" w14:textId="77777777" w:rsidR="008E2B17" w:rsidRPr="008E2B17" w:rsidRDefault="008E2B17" w:rsidP="008E2B17">
      <w:r w:rsidRPr="008E2B17">
        <w:t>Le attività per cui è stata adottata l’autorizzazione in deroga sono le seguenti:</w:t>
      </w:r>
    </w:p>
    <w:p w14:paraId="4CC9E7B6" w14:textId="715B36CB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Pulizia a secco di </w:t>
      </w:r>
      <w:r w:rsidRPr="008E2B17">
        <w:rPr>
          <w:b/>
          <w:bCs/>
        </w:rPr>
        <w:t>tessuti e pellami</w:t>
      </w:r>
      <w:r w:rsidRPr="008E2B17">
        <w:t xml:space="preserve"> con utilizzo di impianti a ciclo aperto e utilizzo massimo complessivo di solventi inferiore a 7,3 tonnellate/anno. (</w:t>
      </w:r>
      <w:hyperlink r:id="rId7" w:history="1">
        <w:r w:rsidRPr="008E2B17">
          <w:rPr>
            <w:rStyle w:val="Collegamentoipertestuale"/>
          </w:rPr>
          <w:t>allegato tecnico n. 1</w:t>
        </w:r>
      </w:hyperlink>
      <w:r w:rsidRPr="008E2B17">
        <w:t xml:space="preserve">) (Nota: </w:t>
      </w:r>
      <w:r w:rsidRPr="008E2B17">
        <w:rPr>
          <w:u w:val="single"/>
        </w:rPr>
        <w:t xml:space="preserve">non </w:t>
      </w:r>
      <w:r w:rsidR="00C32889" w:rsidRPr="00C32889">
        <w:rPr>
          <w:u w:val="single"/>
        </w:rPr>
        <w:t>più</w:t>
      </w:r>
      <w:r w:rsidR="00C32889">
        <w:t xml:space="preserve"> </w:t>
      </w:r>
      <w:r w:rsidRPr="008E2B17">
        <w:t>autorizzabile in deroga ex art. 272, comma 2, D. Lgs. n. 152/2006 ma soggetto ad autorizzazione in via ordinaria secondo quanto previsto dall’art. 275, commi 2 e 4)</w:t>
      </w:r>
    </w:p>
    <w:p w14:paraId="78CB136C" w14:textId="738A3A0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Riparazione e verniciatura di </w:t>
      </w:r>
      <w:r w:rsidRPr="008E2B17">
        <w:rPr>
          <w:b/>
          <w:bCs/>
        </w:rPr>
        <w:t>carrozzerie di autoveicoli, mezzi e macchine agricole</w:t>
      </w:r>
      <w:r w:rsidRPr="008E2B17">
        <w:t xml:space="preserve"> con utilizzo di impianti a ciclo aperto e utilizzo complessivo di prodotti vernicianti pronti all’uso non superiore a 7,3 tonnellate/anno e contenuto complessivo di solventi inferiore a 0,5 tonnellate/anno. (</w:t>
      </w:r>
      <w:hyperlink r:id="rId8" w:history="1">
        <w:r w:rsidRPr="008E2B17">
          <w:rPr>
            <w:rStyle w:val="Collegamentoipertestuale"/>
          </w:rPr>
          <w:t>allegato tecnico n. 2</w:t>
        </w:r>
      </w:hyperlink>
      <w:r w:rsidRPr="008E2B17">
        <w:t>,</w:t>
      </w:r>
      <w:r w:rsidR="001C3E56">
        <w:t xml:space="preserve"> </w:t>
      </w:r>
      <w:hyperlink r:id="rId9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, </w:t>
      </w:r>
      <w:hyperlink r:id="rId10" w:history="1">
        <w:r w:rsidRPr="008E2B17">
          <w:rPr>
            <w:rStyle w:val="Collegamentoipertestuale"/>
          </w:rPr>
          <w:t>scheda di conformità</w:t>
        </w:r>
      </w:hyperlink>
      <w:r w:rsidRPr="008E2B17">
        <w:t>)</w:t>
      </w:r>
    </w:p>
    <w:p w14:paraId="21B4FC10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Tipografia, litografia, serigrafia,</w:t>
      </w:r>
      <w:r w:rsidRPr="008E2B17">
        <w:t xml:space="preserve"> con utilizzo di prodotti per la stampa (inchiostri, vernici e similari) non superiore a 10 tonnellate/anno. (</w:t>
      </w:r>
      <w:hyperlink r:id="rId11" w:history="1">
        <w:r w:rsidRPr="008E2B17">
          <w:rPr>
            <w:rStyle w:val="Collegamentoipertestuale"/>
          </w:rPr>
          <w:t>allegato tecnico n. 3</w:t>
        </w:r>
      </w:hyperlink>
      <w:r w:rsidRPr="008E2B17">
        <w:t>, </w:t>
      </w:r>
      <w:hyperlink r:id="rId12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3736C5F5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Produzione di </w:t>
      </w:r>
      <w:r w:rsidRPr="008E2B17">
        <w:rPr>
          <w:b/>
          <w:bCs/>
        </w:rPr>
        <w:t>prodotti in vetroresine</w:t>
      </w:r>
      <w:r w:rsidRPr="008E2B17">
        <w:t xml:space="preserve"> con utilizzo massimo complessivo di resina pronta all’uso non superiore a 70 tonnellate/anno. (</w:t>
      </w:r>
      <w:hyperlink r:id="rId13" w:history="1">
        <w:r w:rsidRPr="008E2B17">
          <w:rPr>
            <w:rStyle w:val="Collegamentoipertestuale"/>
          </w:rPr>
          <w:t>allegato tecnico n. 4</w:t>
        </w:r>
      </w:hyperlink>
      <w:r w:rsidRPr="008E2B17">
        <w:t>, </w:t>
      </w:r>
      <w:hyperlink r:id="rId14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4B55212B" w14:textId="4A1C2494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Produzione di articoli in </w:t>
      </w:r>
      <w:r w:rsidRPr="008E2B17">
        <w:rPr>
          <w:b/>
          <w:bCs/>
        </w:rPr>
        <w:t>gomma</w:t>
      </w:r>
      <w:r w:rsidRPr="008E2B17">
        <w:t xml:space="preserve"> e prodotti delle </w:t>
      </w:r>
      <w:r w:rsidRPr="008E2B17">
        <w:rPr>
          <w:b/>
          <w:bCs/>
        </w:rPr>
        <w:t>materie plastiche</w:t>
      </w:r>
      <w:r w:rsidRPr="008E2B17">
        <w:t xml:space="preserve"> con utilizzo massimo complessivo di materie prime non superiore a 180 tonnellate/anno. (</w:t>
      </w:r>
      <w:hyperlink r:id="rId15" w:history="1">
        <w:r w:rsidRPr="008E2B17">
          <w:rPr>
            <w:rStyle w:val="Collegamentoipertestuale"/>
          </w:rPr>
          <w:t>allegato tecnico n. 5</w:t>
        </w:r>
      </w:hyperlink>
      <w:r w:rsidRPr="008E2B17">
        <w:t>,</w:t>
      </w:r>
      <w:r>
        <w:t xml:space="preserve"> </w:t>
      </w:r>
      <w:hyperlink r:id="rId16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1BE64E4F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Produzione di </w:t>
      </w:r>
      <w:r w:rsidRPr="008E2B17">
        <w:rPr>
          <w:b/>
          <w:bCs/>
        </w:rPr>
        <w:t>mobili, oggetti, imballaggi, prodotti semifiniti in materiale a base di legno</w:t>
      </w:r>
      <w:r w:rsidRPr="008E2B17">
        <w:t xml:space="preserve"> con utilizzo massimo complessivo di materie prime non superiore a 700 tonnellate/anno. (</w:t>
      </w:r>
      <w:hyperlink r:id="rId17" w:history="1">
        <w:r w:rsidRPr="008E2B17">
          <w:rPr>
            <w:rStyle w:val="Collegamentoipertestuale"/>
          </w:rPr>
          <w:t>allegato tecnico n. 6</w:t>
        </w:r>
      </w:hyperlink>
      <w:r w:rsidRPr="008E2B17">
        <w:t>, </w:t>
      </w:r>
      <w:hyperlink r:id="rId18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6D56DE73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Verniciatura, laccatura, doratura di </w:t>
      </w:r>
      <w:r w:rsidRPr="008E2B17">
        <w:rPr>
          <w:b/>
          <w:bCs/>
        </w:rPr>
        <w:t>mobili</w:t>
      </w:r>
      <w:r w:rsidRPr="008E2B17">
        <w:t xml:space="preserve"> ed altri </w:t>
      </w:r>
      <w:r w:rsidRPr="008E2B17">
        <w:rPr>
          <w:b/>
          <w:bCs/>
        </w:rPr>
        <w:t>oggetti in legno</w:t>
      </w:r>
      <w:r w:rsidRPr="008E2B17">
        <w:t xml:space="preserve"> con consumo massimo teorico di solvente non superiore a 15 tonnellate/anno. (</w:t>
      </w:r>
      <w:hyperlink r:id="rId19" w:history="1">
        <w:r w:rsidRPr="008E2B17">
          <w:rPr>
            <w:rStyle w:val="Collegamentoipertestuale"/>
          </w:rPr>
          <w:t>allegato tecnico n. 7</w:t>
        </w:r>
      </w:hyperlink>
      <w:r w:rsidRPr="008E2B17">
        <w:t>, </w:t>
      </w:r>
      <w:hyperlink r:id="rId20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38A0D2FF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Verniciatura di oggetti vari in </w:t>
      </w:r>
      <w:r w:rsidRPr="008E2B17">
        <w:rPr>
          <w:b/>
          <w:bCs/>
        </w:rPr>
        <w:t>metalli o vetro</w:t>
      </w:r>
      <w:r w:rsidRPr="008E2B17">
        <w:t xml:space="preserve"> con utilizzo complessivo di materie prime aventi contenuto di solventi inferiore a 5 tonnellate/anno. (</w:t>
      </w:r>
      <w:hyperlink r:id="rId21" w:history="1">
        <w:r w:rsidRPr="008E2B17">
          <w:rPr>
            <w:rStyle w:val="Collegamentoipertestuale"/>
          </w:rPr>
          <w:t>allegato tecnico n. 8</w:t>
        </w:r>
      </w:hyperlink>
      <w:r w:rsidRPr="008E2B17">
        <w:t>, </w:t>
      </w:r>
      <w:hyperlink r:id="rId22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0CCB45CD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Panificazione, pasticceria e affini</w:t>
      </w:r>
      <w:r w:rsidRPr="008E2B17">
        <w:t xml:space="preserve"> con consumo di farina non superiore a 550 tonnellate/anno. (</w:t>
      </w:r>
      <w:hyperlink r:id="rId23" w:history="1">
        <w:r w:rsidRPr="008E2B17">
          <w:rPr>
            <w:rStyle w:val="Collegamentoipertestuale"/>
          </w:rPr>
          <w:t>allegato tecnico n. 9</w:t>
        </w:r>
      </w:hyperlink>
      <w:r w:rsidRPr="008E2B17">
        <w:t>, </w:t>
      </w:r>
      <w:hyperlink r:id="rId24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6D416FAF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Torrefazione di </w:t>
      </w:r>
      <w:r w:rsidRPr="008E2B17">
        <w:rPr>
          <w:b/>
          <w:bCs/>
        </w:rPr>
        <w:t>caffè ed altri prodotti tostati</w:t>
      </w:r>
      <w:r w:rsidRPr="008E2B17">
        <w:t xml:space="preserve"> con produzione non superiore a 160 tonnellate/anno. (</w:t>
      </w:r>
      <w:hyperlink r:id="rId25" w:history="1">
        <w:r w:rsidRPr="008E2B17">
          <w:rPr>
            <w:rStyle w:val="Collegamentoipertestuale"/>
          </w:rPr>
          <w:t>allegato tecnico n. 10</w:t>
        </w:r>
      </w:hyperlink>
      <w:r w:rsidRPr="008E2B17">
        <w:t>, </w:t>
      </w:r>
      <w:hyperlink r:id="rId26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02667ED8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lastRenderedPageBreak/>
        <w:t xml:space="preserve">Produzione di </w:t>
      </w:r>
      <w:r w:rsidRPr="008E2B17">
        <w:rPr>
          <w:b/>
          <w:bCs/>
        </w:rPr>
        <w:t>mastici, pitture, vernici, cere, inchiostri e affini</w:t>
      </w:r>
      <w:r w:rsidRPr="008E2B17">
        <w:t xml:space="preserve"> con produzione complessiva non superiore a 1500 tonnellate/anno, e consumo di solvente inferiore a 100 tonnellate/anno. (</w:t>
      </w:r>
      <w:hyperlink r:id="rId27" w:history="1">
        <w:r w:rsidRPr="008E2B17">
          <w:rPr>
            <w:rStyle w:val="Collegamentoipertestuale"/>
          </w:rPr>
          <w:t>allegato tecnico n. 11</w:t>
        </w:r>
      </w:hyperlink>
      <w:r w:rsidRPr="008E2B17">
        <w:t>, </w:t>
      </w:r>
      <w:hyperlink r:id="rId28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311CD818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Sgrassaggio superficiale dei metalli</w:t>
      </w:r>
      <w:r w:rsidRPr="008E2B17">
        <w:t xml:space="preserve"> con consumo complessivo di solventi inferiore a 1 tonnellata/anno, nel caso di utilizzo di solventi alogenati con frase di rischio R40, 2 tonnellate/anno altrimenti. (</w:t>
      </w:r>
      <w:hyperlink r:id="rId29" w:history="1">
        <w:r w:rsidRPr="008E2B17">
          <w:rPr>
            <w:rStyle w:val="Collegamentoipertestuale"/>
          </w:rPr>
          <w:t>allegato tecnico n. 12</w:t>
        </w:r>
      </w:hyperlink>
      <w:r w:rsidRPr="008E2B17">
        <w:t>, </w:t>
      </w:r>
      <w:hyperlink r:id="rId30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3A9AF055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Laboratori </w:t>
      </w:r>
      <w:r w:rsidRPr="008E2B17">
        <w:rPr>
          <w:b/>
          <w:bCs/>
        </w:rPr>
        <w:t>orafi</w:t>
      </w:r>
      <w:r w:rsidRPr="008E2B17">
        <w:t xml:space="preserve"> con fusione di metalli con meno di venticinque addetti. (</w:t>
      </w:r>
      <w:hyperlink r:id="rId31" w:history="1">
        <w:r w:rsidRPr="008E2B17">
          <w:rPr>
            <w:rStyle w:val="Collegamentoipertestuale"/>
          </w:rPr>
          <w:t>allegato tecnico n. 13</w:t>
        </w:r>
      </w:hyperlink>
      <w:r w:rsidRPr="008E2B17">
        <w:t>, </w:t>
      </w:r>
      <w:hyperlink r:id="rId32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6502AEAA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Anodizzazione, galvanotecnica, fosfatazione di superfici metalliche</w:t>
      </w:r>
      <w:r w:rsidRPr="008E2B17">
        <w:t xml:space="preserve"> con consumo di prodotti chimici non superiore a 3,5 tonnellate/anno. (</w:t>
      </w:r>
      <w:hyperlink r:id="rId33" w:history="1">
        <w:r w:rsidRPr="008E2B17">
          <w:rPr>
            <w:rStyle w:val="Collegamentoipertestuale"/>
          </w:rPr>
          <w:t>allegato tecnico n. 14</w:t>
        </w:r>
      </w:hyperlink>
      <w:r w:rsidRPr="008E2B17">
        <w:t>, </w:t>
      </w:r>
      <w:hyperlink r:id="rId34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32F39C08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Utilizzazione di </w:t>
      </w:r>
      <w:r w:rsidRPr="008E2B17">
        <w:rPr>
          <w:b/>
          <w:bCs/>
        </w:rPr>
        <w:t>mastici e colle</w:t>
      </w:r>
      <w:r w:rsidRPr="008E2B17">
        <w:t xml:space="preserve"> con consumo complessivo di sostanze collanti aventi contenuto di solvente inferiore a 5 tonnellate/anno. (</w:t>
      </w:r>
      <w:hyperlink r:id="rId35" w:history="1">
        <w:r w:rsidRPr="008E2B17">
          <w:rPr>
            <w:rStyle w:val="Collegamentoipertestuale"/>
          </w:rPr>
          <w:t>allegato tecnico n. 15</w:t>
        </w:r>
      </w:hyperlink>
      <w:r w:rsidRPr="008E2B17">
        <w:t>, </w:t>
      </w:r>
      <w:hyperlink r:id="rId36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46B5A471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Produzione di </w:t>
      </w:r>
      <w:r w:rsidRPr="008E2B17">
        <w:rPr>
          <w:b/>
          <w:bCs/>
        </w:rPr>
        <w:t>sapone e detergenti sintetici</w:t>
      </w:r>
      <w:r w:rsidRPr="008E2B17">
        <w:t xml:space="preserve"> prodotti per l’igiene e la profumeria con utilizzo di materie prime non superiori a 70 tonnellate/anno. (</w:t>
      </w:r>
      <w:hyperlink r:id="rId37" w:history="1">
        <w:r w:rsidRPr="008E2B17">
          <w:rPr>
            <w:rStyle w:val="Collegamentoipertestuale"/>
          </w:rPr>
          <w:t>allegato tecnico n. 16</w:t>
        </w:r>
      </w:hyperlink>
      <w:r w:rsidRPr="008E2B17">
        <w:t>, </w:t>
      </w:r>
      <w:hyperlink r:id="rId38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41724C1B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Tempra di metalli</w:t>
      </w:r>
      <w:r w:rsidRPr="008E2B17">
        <w:t xml:space="preserve"> con consumo di olio non superiore a 3,5 tonnellate/anno. (</w:t>
      </w:r>
      <w:hyperlink r:id="rId39" w:history="1">
        <w:r w:rsidRPr="008E2B17">
          <w:rPr>
            <w:rStyle w:val="Collegamentoipertestuale"/>
          </w:rPr>
          <w:t>allegato tecnico n. 17</w:t>
        </w:r>
      </w:hyperlink>
      <w:r w:rsidRPr="008E2B17">
        <w:t>, </w:t>
      </w:r>
      <w:hyperlink r:id="rId40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58DE8578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Produzione di oggetti artistici in </w:t>
      </w:r>
      <w:r w:rsidRPr="008E2B17">
        <w:rPr>
          <w:b/>
          <w:bCs/>
        </w:rPr>
        <w:t>ceramica, terracotta o vetro</w:t>
      </w:r>
      <w:r w:rsidRPr="008E2B17">
        <w:t xml:space="preserve"> in forni in muffola discontinua con utilizzo nel ciclo produttivo di smalti, colori e affini non superiore a 15 tonnellate/anno, ed utilizzo di solventi inferiore a 5 tonnellate/anno. (</w:t>
      </w:r>
      <w:hyperlink r:id="rId41" w:history="1">
        <w:r w:rsidRPr="008E2B17">
          <w:rPr>
            <w:rStyle w:val="Collegamentoipertestuale"/>
          </w:rPr>
          <w:t>allegato tecnico n. 18</w:t>
        </w:r>
      </w:hyperlink>
      <w:r w:rsidRPr="008E2B17">
        <w:t>, </w:t>
      </w:r>
      <w:hyperlink r:id="rId42" w:history="1">
        <w:r w:rsidRPr="008E2B17">
          <w:rPr>
            <w:rStyle w:val="Collegamentoipertestuale"/>
          </w:rPr>
          <w:t>Relazione Tecnica Semplificata-18</w:t>
        </w:r>
      </w:hyperlink>
      <w:r w:rsidRPr="008E2B17">
        <w:t>)</w:t>
      </w:r>
    </w:p>
    <w:p w14:paraId="6BB32861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Trasformazione e conservazione di </w:t>
      </w:r>
      <w:r w:rsidRPr="008E2B17">
        <w:rPr>
          <w:b/>
          <w:bCs/>
        </w:rPr>
        <w:t>frutta, ortaggi, funghi</w:t>
      </w:r>
      <w:r w:rsidRPr="008E2B17">
        <w:t xml:space="preserve"> con produzione non superiore a 365 tonnellate/anno escluse la surgelazione, la vinificazione e la distillazione. (</w:t>
      </w:r>
      <w:hyperlink r:id="rId43" w:history="1">
        <w:r w:rsidRPr="008E2B17">
          <w:rPr>
            <w:rStyle w:val="Collegamentoipertestuale"/>
          </w:rPr>
          <w:t>allegato tecnico n. 19</w:t>
        </w:r>
      </w:hyperlink>
      <w:r w:rsidRPr="008E2B17">
        <w:t>, </w:t>
      </w:r>
      <w:hyperlink r:id="rId44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5320FEA2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Trasformazione e conservazione, esclusa la surgelazione, di </w:t>
      </w:r>
      <w:r w:rsidRPr="008E2B17">
        <w:rPr>
          <w:b/>
          <w:bCs/>
        </w:rPr>
        <w:t>carne</w:t>
      </w:r>
      <w:r w:rsidRPr="008E2B17">
        <w:t xml:space="preserve"> con produzione non superiore a 365 tonnellate/anno. (</w:t>
      </w:r>
      <w:hyperlink r:id="rId45" w:history="1">
        <w:r w:rsidRPr="008E2B17">
          <w:rPr>
            <w:rStyle w:val="Collegamentoipertestuale"/>
          </w:rPr>
          <w:t>allegato tecnico n. 20</w:t>
        </w:r>
      </w:hyperlink>
      <w:r w:rsidRPr="008E2B17">
        <w:t>, </w:t>
      </w:r>
      <w:hyperlink r:id="rId46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33D56E2F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Molitura cereali</w:t>
      </w:r>
      <w:r w:rsidRPr="008E2B17">
        <w:t xml:space="preserve"> con produzione non superiore a 540 tonnellate/anno. (</w:t>
      </w:r>
      <w:hyperlink r:id="rId47" w:history="1">
        <w:r w:rsidRPr="008E2B17">
          <w:rPr>
            <w:rStyle w:val="Collegamentoipertestuale"/>
          </w:rPr>
          <w:t>allegato tecnico n. 21</w:t>
        </w:r>
      </w:hyperlink>
      <w:r w:rsidRPr="008E2B17">
        <w:t>, </w:t>
      </w:r>
      <w:hyperlink r:id="rId48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1DF0D90B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Lavorazione e conservazione, esclusa la surgelazione, di </w:t>
      </w:r>
      <w:r w:rsidRPr="008E2B17">
        <w:rPr>
          <w:b/>
          <w:bCs/>
        </w:rPr>
        <w:t>pesce</w:t>
      </w:r>
      <w:r w:rsidRPr="008E2B17">
        <w:t xml:space="preserve"> </w:t>
      </w:r>
      <w:r w:rsidRPr="008E2B17">
        <w:rPr>
          <w:b/>
          <w:bCs/>
        </w:rPr>
        <w:t>ed altri prodotti alimentari marini</w:t>
      </w:r>
      <w:r w:rsidRPr="008E2B17">
        <w:t xml:space="preserve"> con produzione non superiore a 365 tonnellate/anno. (</w:t>
      </w:r>
      <w:hyperlink r:id="rId49" w:history="1">
        <w:r w:rsidRPr="008E2B17">
          <w:rPr>
            <w:rStyle w:val="Collegamentoipertestuale"/>
          </w:rPr>
          <w:t>allegato tecnico n. 22</w:t>
        </w:r>
      </w:hyperlink>
      <w:r w:rsidRPr="008E2B17">
        <w:t>, </w:t>
      </w:r>
      <w:hyperlink r:id="rId50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3BC337EA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Prodotti in </w:t>
      </w:r>
      <w:r w:rsidRPr="008E2B17">
        <w:rPr>
          <w:b/>
          <w:bCs/>
        </w:rPr>
        <w:t>calcestruzzo e gesso</w:t>
      </w:r>
      <w:r w:rsidRPr="008E2B17">
        <w:t xml:space="preserve"> in quantità non superiore a 540 tonnellate/anno. (</w:t>
      </w:r>
      <w:hyperlink r:id="rId51" w:history="1">
        <w:r w:rsidRPr="008E2B17">
          <w:rPr>
            <w:rStyle w:val="Collegamentoipertestuale"/>
          </w:rPr>
          <w:t>allegato tecnico n. 23</w:t>
        </w:r>
      </w:hyperlink>
      <w:r w:rsidRPr="008E2B17">
        <w:t>, </w:t>
      </w:r>
      <w:hyperlink r:id="rId52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4B44D955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 xml:space="preserve">Pressofusione con utilizzo di metalli e leghe </w:t>
      </w:r>
      <w:r w:rsidRPr="008E2B17">
        <w:t>in quantità non superiore a 35 tonnellate/anno. (</w:t>
      </w:r>
      <w:hyperlink r:id="rId53" w:history="1">
        <w:r w:rsidRPr="008E2B17">
          <w:rPr>
            <w:rStyle w:val="Collegamentoipertestuale"/>
          </w:rPr>
          <w:t>allegato tecnico n. 24</w:t>
        </w:r>
      </w:hyperlink>
      <w:r w:rsidRPr="008E2B17">
        <w:t>, </w:t>
      </w:r>
      <w:hyperlink r:id="rId54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2B527D1A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Lavorazioni manifatturiere alimentari</w:t>
      </w:r>
      <w:r w:rsidRPr="008E2B17">
        <w:t xml:space="preserve"> con utilizzo di materie prime non superiori a 365 tonnellate/anno, ed utilizzo di solventi in quantità inferiore a 10 tonnellate/anno. (</w:t>
      </w:r>
      <w:hyperlink r:id="rId55" w:history="1">
        <w:r w:rsidRPr="008E2B17">
          <w:rPr>
            <w:rStyle w:val="Collegamentoipertestuale"/>
          </w:rPr>
          <w:t>allegato tecnico n. 25</w:t>
        </w:r>
      </w:hyperlink>
      <w:r w:rsidRPr="008E2B17">
        <w:t>, </w:t>
      </w:r>
      <w:hyperlink r:id="rId56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16962584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lastRenderedPageBreak/>
        <w:t xml:space="preserve">Lavorazioni </w:t>
      </w:r>
      <w:r w:rsidRPr="008E2B17">
        <w:rPr>
          <w:b/>
          <w:bCs/>
        </w:rPr>
        <w:t>conciarie</w:t>
      </w:r>
      <w:r w:rsidRPr="008E2B17">
        <w:t xml:space="preserve"> con utilizzo di materie prime aventi contenuto di solventi inferiore a 10 tonnellate/anno. (</w:t>
      </w:r>
      <w:hyperlink r:id="rId57" w:history="1">
        <w:r w:rsidRPr="008E2B17">
          <w:rPr>
            <w:rStyle w:val="Collegamentoipertestuale"/>
          </w:rPr>
          <w:t>allegato tecnico n. 26</w:t>
        </w:r>
      </w:hyperlink>
      <w:r w:rsidRPr="008E2B17">
        <w:t>, </w:t>
      </w:r>
      <w:hyperlink r:id="rId58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1929EEFB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Fonderie di metalli</w:t>
      </w:r>
      <w:r w:rsidRPr="008E2B17">
        <w:t xml:space="preserve"> con produzione di oggetti metallici massimo non superiore a 35 tonnellate/anno. (</w:t>
      </w:r>
      <w:hyperlink r:id="rId59" w:history="1">
        <w:r w:rsidRPr="008E2B17">
          <w:rPr>
            <w:rStyle w:val="Collegamentoipertestuale"/>
          </w:rPr>
          <w:t>Relazione Tecnica Semplificata-27</w:t>
        </w:r>
      </w:hyperlink>
      <w:r w:rsidRPr="008E2B17">
        <w:t>, </w:t>
      </w:r>
      <w:hyperlink r:id="rId60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78C1C53C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Produzione di </w:t>
      </w:r>
      <w:r w:rsidRPr="008E2B17">
        <w:rPr>
          <w:b/>
          <w:bCs/>
        </w:rPr>
        <w:t>ceramiche artistiche</w:t>
      </w:r>
      <w:r w:rsidRPr="008E2B17">
        <w:t xml:space="preserve"> esclusa la </w:t>
      </w:r>
      <w:proofErr w:type="spellStart"/>
      <w:r w:rsidRPr="008E2B17">
        <w:t>decoratura</w:t>
      </w:r>
      <w:proofErr w:type="spellEnd"/>
      <w:r w:rsidRPr="008E2B17">
        <w:t xml:space="preserve"> con utilizzo di materia prima non superiore a 1000 tonnellate/anno. (</w:t>
      </w:r>
      <w:hyperlink r:id="rId61" w:history="1">
        <w:r w:rsidRPr="008E2B17">
          <w:rPr>
            <w:rStyle w:val="Collegamentoipertestuale"/>
          </w:rPr>
          <w:t>allegato tecnico n. 28</w:t>
        </w:r>
      </w:hyperlink>
      <w:r w:rsidRPr="008E2B17">
        <w:t>, </w:t>
      </w:r>
      <w:hyperlink r:id="rId62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3CB87586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Produzione di </w:t>
      </w:r>
      <w:r w:rsidRPr="008E2B17">
        <w:rPr>
          <w:b/>
          <w:bCs/>
        </w:rPr>
        <w:t>carta, cartone e similari</w:t>
      </w:r>
      <w:r w:rsidRPr="008E2B17">
        <w:t xml:space="preserve"> con utilizzo massimo di materie prime non superiore a 1.500 tonnellate/anno. (</w:t>
      </w:r>
      <w:hyperlink r:id="rId63" w:history="1">
        <w:r w:rsidRPr="008E2B17">
          <w:rPr>
            <w:rStyle w:val="Collegamentoipertestuale"/>
          </w:rPr>
          <w:t>allegato tecnico n. 29</w:t>
        </w:r>
      </w:hyperlink>
      <w:r w:rsidRPr="008E2B17">
        <w:t>, </w:t>
      </w:r>
      <w:hyperlink r:id="rId64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0B8170B9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Saldatura di oggetti e superfici metalliche</w:t>
      </w:r>
      <w:r w:rsidRPr="008E2B17">
        <w:t>. (</w:t>
      </w:r>
      <w:hyperlink r:id="rId65" w:history="1">
        <w:r w:rsidRPr="008E2B17">
          <w:rPr>
            <w:rStyle w:val="Collegamentoipertestuale"/>
          </w:rPr>
          <w:t>allegato tecnico n. 30</w:t>
        </w:r>
      </w:hyperlink>
      <w:r w:rsidRPr="008E2B17">
        <w:t>, </w:t>
      </w:r>
      <w:hyperlink r:id="rId66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7FCE10EA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Trasformazioni lattiero-casearie</w:t>
      </w:r>
      <w:r w:rsidRPr="008E2B17">
        <w:t xml:space="preserve"> con produzione non superiore a 365 tonnellate/anno. (</w:t>
      </w:r>
      <w:hyperlink r:id="rId67" w:history="1">
        <w:r w:rsidRPr="008E2B17">
          <w:rPr>
            <w:rStyle w:val="Collegamentoipertestuale"/>
          </w:rPr>
          <w:t>allegato tecnico n. 31</w:t>
        </w:r>
      </w:hyperlink>
      <w:r w:rsidRPr="008E2B17">
        <w:t>, </w:t>
      </w:r>
      <w:hyperlink r:id="rId68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1F6BEB8D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Lavorazioni meccaniche in genere e/o pulizia meccanica/asportazione di materiale effettuate su metalli e/o leghe metalliche</w:t>
      </w:r>
      <w:r w:rsidRPr="008E2B17">
        <w:t>. (</w:t>
      </w:r>
      <w:hyperlink r:id="rId69" w:history="1">
        <w:r w:rsidRPr="008E2B17">
          <w:rPr>
            <w:rStyle w:val="Collegamentoipertestuale"/>
          </w:rPr>
          <w:t>allegato tecnico n. 32</w:t>
        </w:r>
      </w:hyperlink>
      <w:r w:rsidRPr="008E2B17">
        <w:t>, </w:t>
      </w:r>
      <w:hyperlink r:id="rId70" w:history="1">
        <w:r w:rsidRPr="008E2B17">
          <w:rPr>
            <w:rStyle w:val="Collegamentoipertestuale"/>
          </w:rPr>
          <w:t>Appendice Allegato Tecnico 32</w:t>
        </w:r>
      </w:hyperlink>
      <w:r w:rsidRPr="008E2B17">
        <w:t>, </w:t>
      </w:r>
      <w:hyperlink r:id="rId71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0A385485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Verniciatura di oggetti vari in </w:t>
      </w:r>
      <w:r w:rsidRPr="008E2B17">
        <w:rPr>
          <w:b/>
          <w:bCs/>
        </w:rPr>
        <w:t>plastica e vetroresina</w:t>
      </w:r>
      <w:r w:rsidRPr="008E2B17">
        <w:t xml:space="preserve"> con utilizzo complessivo di materie prime aventi contenuto di solventi inferiore a 5 tonnellate/anno. (</w:t>
      </w:r>
      <w:hyperlink r:id="rId72" w:history="1">
        <w:r w:rsidRPr="008E2B17">
          <w:rPr>
            <w:rStyle w:val="Collegamentoipertestuale"/>
          </w:rPr>
          <w:t>allegato tecnico n. 33</w:t>
        </w:r>
      </w:hyperlink>
      <w:r w:rsidRPr="008E2B17">
        <w:t>, </w:t>
      </w:r>
      <w:hyperlink r:id="rId73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2E0F330E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Operazioni di </w:t>
      </w:r>
      <w:r w:rsidRPr="008E2B17">
        <w:rPr>
          <w:b/>
          <w:bCs/>
        </w:rPr>
        <w:t>trattamenti termici su metalli</w:t>
      </w:r>
      <w:r w:rsidRPr="008E2B17">
        <w:t xml:space="preserve"> in genere senza utilizzo di olio. (</w:t>
      </w:r>
      <w:hyperlink r:id="rId74" w:history="1">
        <w:r w:rsidRPr="008E2B17">
          <w:rPr>
            <w:rStyle w:val="Collegamentoipertestuale"/>
          </w:rPr>
          <w:t>allegato tecnico n. 34</w:t>
        </w:r>
      </w:hyperlink>
      <w:r w:rsidRPr="008E2B17">
        <w:t>, </w:t>
      </w:r>
      <w:hyperlink r:id="rId75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18267788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t xml:space="preserve">Trattamento, stoccaggio e movimentazione di materiali </w:t>
      </w:r>
      <w:r w:rsidRPr="008E2B17">
        <w:rPr>
          <w:b/>
          <w:bCs/>
        </w:rPr>
        <w:t>inerti polverulenti</w:t>
      </w:r>
      <w:r w:rsidRPr="008E2B17">
        <w:t xml:space="preserve"> non pericolosi, con capacità massima di trattamento e deposito non superiore a 200 tonnellate/giorno. (</w:t>
      </w:r>
      <w:hyperlink r:id="rId76" w:history="1">
        <w:r w:rsidRPr="008E2B17">
          <w:rPr>
            <w:rStyle w:val="Collegamentoipertestuale"/>
          </w:rPr>
          <w:t>allegato tecnico n. 35</w:t>
        </w:r>
      </w:hyperlink>
      <w:r w:rsidRPr="008E2B17">
        <w:t>, </w:t>
      </w:r>
      <w:hyperlink r:id="rId77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16C44EE9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Elettroerosione</w:t>
      </w:r>
      <w:r w:rsidRPr="008E2B17">
        <w:t xml:space="preserve"> (</w:t>
      </w:r>
      <w:hyperlink r:id="rId78" w:history="1">
        <w:r w:rsidRPr="008E2B17">
          <w:rPr>
            <w:rStyle w:val="Collegamentoipertestuale"/>
          </w:rPr>
          <w:t>allegato tecnico n. 36</w:t>
        </w:r>
      </w:hyperlink>
      <w:r w:rsidRPr="008E2B17">
        <w:t>, </w:t>
      </w:r>
      <w:hyperlink r:id="rId79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04140475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Impianti termici civili</w:t>
      </w:r>
      <w:r w:rsidRPr="008E2B17">
        <w:t xml:space="preserve"> aventi potenza termica nominale non inferiore a 3 MW ed inferiore a 10 MW (</w:t>
      </w:r>
      <w:hyperlink r:id="rId80" w:history="1">
        <w:r w:rsidRPr="008E2B17">
          <w:rPr>
            <w:rStyle w:val="Collegamentoipertestuale"/>
          </w:rPr>
          <w:t>allegato tecnico n. 37</w:t>
        </w:r>
      </w:hyperlink>
      <w:r w:rsidRPr="008E2B17">
        <w:t>, </w:t>
      </w:r>
      <w:hyperlink r:id="rId81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0EFBBEBE" w14:textId="77777777" w:rsidR="008E2B17" w:rsidRPr="008E2B17" w:rsidRDefault="008E2B17" w:rsidP="008E2B17">
      <w:pPr>
        <w:numPr>
          <w:ilvl w:val="0"/>
          <w:numId w:val="1"/>
        </w:numPr>
        <w:jc w:val="both"/>
      </w:pPr>
      <w:r w:rsidRPr="008E2B17">
        <w:rPr>
          <w:b/>
          <w:bCs/>
        </w:rPr>
        <w:t>Gruppi elettrogeni e motori di emergenza</w:t>
      </w:r>
      <w:r w:rsidRPr="008E2B17">
        <w:t xml:space="preserve"> (</w:t>
      </w:r>
      <w:hyperlink r:id="rId82" w:history="1">
        <w:r w:rsidRPr="008E2B17">
          <w:rPr>
            <w:rStyle w:val="Collegamentoipertestuale"/>
          </w:rPr>
          <w:t>allegato tecnico n. 38</w:t>
        </w:r>
      </w:hyperlink>
      <w:r w:rsidRPr="008E2B17">
        <w:t>, </w:t>
      </w:r>
      <w:hyperlink r:id="rId83" w:history="1">
        <w:r w:rsidRPr="008E2B17">
          <w:rPr>
            <w:rStyle w:val="Collegamentoipertestuale"/>
          </w:rPr>
          <w:t>Relazione Tecnica Semplificata</w:t>
        </w:r>
      </w:hyperlink>
      <w:r w:rsidRPr="008E2B17">
        <w:t>)</w:t>
      </w:r>
    </w:p>
    <w:p w14:paraId="0DAF77B9" w14:textId="77777777" w:rsidR="009147AE" w:rsidRDefault="009147AE" w:rsidP="009147AE">
      <w:pPr>
        <w:jc w:val="both"/>
      </w:pPr>
      <w:r>
        <w:t>Altre attività in deroga più recenti: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"/>
        <w:gridCol w:w="5142"/>
        <w:gridCol w:w="3674"/>
      </w:tblGrid>
      <w:tr w:rsidR="009147AE" w:rsidRPr="004E54A2" w14:paraId="4D898FF4" w14:textId="77777777" w:rsidTr="00622B83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0BB9E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39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7A53D9" w14:textId="77777777" w:rsidR="009147AE" w:rsidRPr="004E54A2" w:rsidRDefault="009147AE" w:rsidP="00622B83">
            <w:pPr>
              <w:spacing w:after="0" w:line="240" w:lineRule="auto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Linee di trattamento fanghi collocati all'interno di impianti di depurazione.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F6F32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proofErr w:type="spellStart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D.d.s</w:t>
            </w:r>
            <w:proofErr w:type="spellEnd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. 13 maggio 2012 - n. 4212</w:t>
            </w:r>
          </w:p>
        </w:tc>
      </w:tr>
      <w:tr w:rsidR="009147AE" w:rsidRPr="004E54A2" w14:paraId="71569D61" w14:textId="77777777" w:rsidTr="00622B83">
        <w:trPr>
          <w:jc w:val="center"/>
        </w:trPr>
        <w:tc>
          <w:tcPr>
            <w:tcW w:w="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6465B9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40</w:t>
            </w:r>
          </w:p>
        </w:tc>
        <w:tc>
          <w:tcPr>
            <w:tcW w:w="51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9F3B20" w14:textId="77777777" w:rsidR="009147AE" w:rsidRPr="004E54A2" w:rsidRDefault="009147AE" w:rsidP="00622B83">
            <w:pPr>
              <w:spacing w:after="0" w:line="240" w:lineRule="auto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Attività di essiccazione di materiali vegetali presso aziende agricole.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C416C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Decreto del 28 giugno 2013 n. 5624</w:t>
            </w:r>
          </w:p>
        </w:tc>
      </w:tr>
      <w:tr w:rsidR="009147AE" w:rsidRPr="004E54A2" w14:paraId="746EC62F" w14:textId="77777777" w:rsidTr="00622B8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08794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41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BDFDA1" w14:textId="77777777" w:rsidR="009147AE" w:rsidRPr="004E54A2" w:rsidRDefault="009147AE" w:rsidP="00622B83">
            <w:pPr>
              <w:spacing w:after="0" w:line="240" w:lineRule="auto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 xml:space="preserve">Medi impianti di combustione industriali di potenza uguale o superiore a 1 </w:t>
            </w:r>
            <w:proofErr w:type="spellStart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MWt</w:t>
            </w:r>
            <w:proofErr w:type="spellEnd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 xml:space="preserve"> e inferiore a 15 </w:t>
            </w:r>
            <w:proofErr w:type="spellStart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MWt</w:t>
            </w:r>
            <w:proofErr w:type="spellEnd"/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B7BA32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proofErr w:type="spellStart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D.d.s</w:t>
            </w:r>
            <w:proofErr w:type="spellEnd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. 28 novembre 2019 - n. 17322</w:t>
            </w:r>
          </w:p>
        </w:tc>
      </w:tr>
      <w:tr w:rsidR="009147AE" w:rsidRPr="004E54A2" w14:paraId="47559E22" w14:textId="77777777" w:rsidTr="00622B8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B5F7DA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42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24CEC" w14:textId="77777777" w:rsidR="009147AE" w:rsidRPr="004E54A2" w:rsidRDefault="009147AE" w:rsidP="00622B83">
            <w:pPr>
              <w:spacing w:after="0" w:line="240" w:lineRule="auto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Attività di lavorazioni di materiali lapidei in genere con consumo di materia prima non superiore 2.000 ton/anno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DD4B4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proofErr w:type="spellStart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D.d.s</w:t>
            </w:r>
            <w:proofErr w:type="spellEnd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. 28 novembre 2019 - n. 17322</w:t>
            </w:r>
          </w:p>
        </w:tc>
      </w:tr>
      <w:tr w:rsidR="009147AE" w:rsidRPr="004E54A2" w14:paraId="3920B3B1" w14:textId="77777777" w:rsidTr="00622B83">
        <w:trPr>
          <w:jc w:val="center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066A7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43</w:t>
            </w:r>
          </w:p>
        </w:tc>
        <w:tc>
          <w:tcPr>
            <w:tcW w:w="5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EE883" w14:textId="77777777" w:rsidR="009147AE" w:rsidRPr="004E54A2" w:rsidRDefault="009147AE" w:rsidP="00622B83">
            <w:pPr>
              <w:spacing w:after="0" w:line="240" w:lineRule="auto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Operazioni di taglio/incisione/marcatura laser su svariate superfici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ACD3F" w14:textId="77777777" w:rsidR="009147AE" w:rsidRPr="004E54A2" w:rsidRDefault="009147AE" w:rsidP="00622B83">
            <w:pPr>
              <w:spacing w:after="0" w:line="240" w:lineRule="auto"/>
              <w:jc w:val="center"/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</w:pPr>
            <w:proofErr w:type="spellStart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D.d.s</w:t>
            </w:r>
            <w:proofErr w:type="spellEnd"/>
            <w:r w:rsidRPr="004E54A2">
              <w:rPr>
                <w:rFonts w:eastAsia="Times New Roman" w:cstheme="minorHAnsi"/>
                <w:color w:val="1A0000"/>
                <w:kern w:val="0"/>
                <w:lang w:eastAsia="it-IT"/>
                <w14:ligatures w14:val="none"/>
              </w:rPr>
              <w:t>. 28 novembre 2019 - n. 17322</w:t>
            </w:r>
          </w:p>
        </w:tc>
      </w:tr>
    </w:tbl>
    <w:p w14:paraId="6F8129F4" w14:textId="1EF935D0" w:rsidR="004E7A3D" w:rsidRDefault="004E7A3D" w:rsidP="009147AE">
      <w:pPr>
        <w:spacing w:after="0" w:line="240" w:lineRule="auto"/>
        <w:jc w:val="both"/>
      </w:pPr>
      <w:r>
        <w:lastRenderedPageBreak/>
        <w:t xml:space="preserve">NOTA: Le ultime voci della lista sono state inserite in tempi più recenti, chi non le avesse dichiarate dovrebbe regolarizzare la sua posizione. </w:t>
      </w:r>
      <w:r w:rsidR="009147AE">
        <w:t xml:space="preserve">Gli allegati tecnici corrispondenti sono rintracciabili nei siti delle Province, se necessario Api può inviarli scrivendo a </w:t>
      </w:r>
      <w:hyperlink r:id="rId84" w:history="1">
        <w:r w:rsidR="009147AE" w:rsidRPr="001C2562">
          <w:rPr>
            <w:rStyle w:val="Collegamentoipertestuale"/>
          </w:rPr>
          <w:t>silvia.negri@api.lecco.it</w:t>
        </w:r>
      </w:hyperlink>
      <w:r w:rsidR="009147AE">
        <w:t xml:space="preserve">. </w:t>
      </w:r>
    </w:p>
    <w:p w14:paraId="59923F82" w14:textId="77777777" w:rsidR="009147AE" w:rsidRDefault="009147AE" w:rsidP="009147AE">
      <w:pPr>
        <w:spacing w:after="0" w:line="240" w:lineRule="auto"/>
        <w:jc w:val="both"/>
      </w:pPr>
    </w:p>
    <w:p w14:paraId="353D6A66" w14:textId="68F3148B" w:rsidR="004E7A3D" w:rsidRDefault="004E7A3D" w:rsidP="008E2B17">
      <w:pPr>
        <w:jc w:val="both"/>
      </w:pPr>
      <w:r w:rsidRPr="004E7A3D">
        <w:t xml:space="preserve">Si ricorda che all’interno del medesimo insediamento </w:t>
      </w:r>
      <w:r w:rsidR="00F4760D">
        <w:t xml:space="preserve">non è possibile esercire impianti “misti” (ordinari + in deroga) ma </w:t>
      </w:r>
      <w:r w:rsidRPr="004E7A3D">
        <w:t xml:space="preserve">è possibile </w:t>
      </w:r>
      <w:r w:rsidR="00F4760D">
        <w:t>avvalersi dell’autorizzazione in deroga solo se si eserciscono soltan</w:t>
      </w:r>
      <w:r w:rsidR="00B23293">
        <w:t>t</w:t>
      </w:r>
      <w:r w:rsidR="00F4760D">
        <w:t>o</w:t>
      </w:r>
      <w:r w:rsidRPr="004E7A3D">
        <w:t xml:space="preserve"> attività/impianti definiti in deroga </w:t>
      </w:r>
      <w:r>
        <w:t>(</w:t>
      </w:r>
      <w:r w:rsidRPr="004E7A3D">
        <w:t>art. 272, commi 2 e 3 del D. Lgs. 152/06</w:t>
      </w:r>
      <w:r>
        <w:t>)</w:t>
      </w:r>
      <w:r w:rsidRPr="004E7A3D">
        <w:t xml:space="preserve">. L’unica eccezione è rappresentata dall’attività in deroga di saldatura di oggetti e superfici metalliche (allegato tecnico n. 30), autorizzabile in </w:t>
      </w:r>
      <w:r>
        <w:t>modo semplificato</w:t>
      </w:r>
      <w:r w:rsidRPr="004E7A3D">
        <w:t xml:space="preserve"> anche in caso di compresenza di impianti/attività già assentiti in via ordinaria (art. 269 del D. Lgs. 152/06).</w:t>
      </w:r>
    </w:p>
    <w:p w14:paraId="09D0C995" w14:textId="2B933C62" w:rsidR="00C32889" w:rsidRDefault="00F4760D" w:rsidP="008E2B17">
      <w:pPr>
        <w:jc w:val="both"/>
      </w:pPr>
      <w:r>
        <w:t xml:space="preserve">Nell’applicativo </w:t>
      </w:r>
      <w:proofErr w:type="spellStart"/>
      <w:r w:rsidR="00C32889">
        <w:t>Aua</w:t>
      </w:r>
      <w:proofErr w:type="spellEnd"/>
      <w:r w:rsidR="00C32889">
        <w:t xml:space="preserve"> point, </w:t>
      </w:r>
      <w:r w:rsidR="00C32889" w:rsidRPr="00C32889">
        <w:t>sezione Documentazione (pulsante pagina Home)</w:t>
      </w:r>
      <w:r>
        <w:t>, v</w:t>
      </w:r>
      <w:r w:rsidRPr="00C32889">
        <w:t xml:space="preserve">anno inserite </w:t>
      </w:r>
      <w:r w:rsidR="00C32889" w:rsidRPr="00C32889">
        <w:t>le analisi di messa a regime ai sensi dell’art. 269 c.6 e relazione di accompagnamento (formato PDF), i bilanci di massa previsti dalle autorizzazioni in deroga alle emissioni ex art. 272 e il calcolo delle emissioni diffuse per le lavorazioni meccaniche</w:t>
      </w:r>
      <w:r w:rsidR="009147AE">
        <w:t xml:space="preserve"> (Allegato tecnico 32)</w:t>
      </w:r>
      <w:r w:rsidR="00C32889" w:rsidRPr="00C32889">
        <w:t>.</w:t>
      </w:r>
    </w:p>
    <w:p w14:paraId="5A164C12" w14:textId="65815C7A" w:rsidR="004E7A3D" w:rsidRDefault="004E7A3D" w:rsidP="008E2B17">
      <w:pPr>
        <w:jc w:val="both"/>
      </w:pPr>
      <w:r>
        <w:t xml:space="preserve">Molti dettagli si trovano sul </w:t>
      </w:r>
      <w:r w:rsidRPr="00F4760D">
        <w:rPr>
          <w:highlight w:val="yellow"/>
        </w:rPr>
        <w:t>sito regionale</w:t>
      </w:r>
      <w:r>
        <w:t xml:space="preserve"> dedicato a questo tema.</w:t>
      </w:r>
    </w:p>
    <w:p w14:paraId="4DEFCA72" w14:textId="16FB23F7" w:rsidR="004E7A3D" w:rsidRDefault="00936831" w:rsidP="008E2B17">
      <w:pPr>
        <w:jc w:val="both"/>
      </w:pPr>
      <w:hyperlink r:id="rId85" w:history="1">
        <w:r w:rsidR="004E7A3D" w:rsidRPr="001C2562">
          <w:rPr>
            <w:rStyle w:val="Collegamentoipertestuale"/>
          </w:rPr>
          <w:t>https://www.regione.lombardia.it/wps/portal/istituzionale/HP/DettaglioRedazionale/servizi-e-informazioni/Imprese/Sicurezza-ambientale-e-alimentare/qualita-dell-aria-ed-emissioni-in-atmosfera/autorizzazioni-generali-attivita-in-deroga/autorizzazioni-generali-attivita-in-deroga</w:t>
        </w:r>
      </w:hyperlink>
      <w:r w:rsidR="004E7A3D">
        <w:t xml:space="preserve"> </w:t>
      </w:r>
    </w:p>
    <w:p w14:paraId="5AC3468D" w14:textId="1AE449FB" w:rsidR="00A115CB" w:rsidRDefault="00A115CB">
      <w:pPr>
        <w:jc w:val="both"/>
      </w:pPr>
    </w:p>
    <w:p w14:paraId="42F6E53F" w14:textId="77777777" w:rsidR="009147AE" w:rsidRDefault="009147AE">
      <w:pPr>
        <w:jc w:val="both"/>
      </w:pPr>
    </w:p>
    <w:sectPr w:rsidR="009147AE">
      <w:headerReference w:type="default" r:id="rId8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BD6C" w14:textId="77777777" w:rsidR="00744A07" w:rsidRDefault="00744A07" w:rsidP="00744A07">
      <w:pPr>
        <w:spacing w:after="0" w:line="240" w:lineRule="auto"/>
      </w:pPr>
      <w:r>
        <w:separator/>
      </w:r>
    </w:p>
  </w:endnote>
  <w:endnote w:type="continuationSeparator" w:id="0">
    <w:p w14:paraId="2C8457A6" w14:textId="77777777" w:rsidR="00744A07" w:rsidRDefault="00744A07" w:rsidP="007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7A408" w14:textId="77777777" w:rsidR="00744A07" w:rsidRDefault="00744A07" w:rsidP="00744A07">
      <w:pPr>
        <w:spacing w:after="0" w:line="240" w:lineRule="auto"/>
      </w:pPr>
      <w:r>
        <w:separator/>
      </w:r>
    </w:p>
  </w:footnote>
  <w:footnote w:type="continuationSeparator" w:id="0">
    <w:p w14:paraId="42EAB3C6" w14:textId="77777777" w:rsidR="00744A07" w:rsidRDefault="00744A07" w:rsidP="007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DA8A" w14:textId="299192DC" w:rsidR="00936831" w:rsidRDefault="00936831" w:rsidP="00744A07">
    <w:pPr>
      <w:pStyle w:val="Intestazione"/>
      <w:jc w:val="right"/>
    </w:pPr>
    <w:r>
      <w:rPr>
        <w:noProof/>
      </w:rPr>
      <w:drawing>
        <wp:inline distT="0" distB="0" distL="0" distR="0" wp14:anchorId="50BBBA0B" wp14:editId="4CDD13B5">
          <wp:extent cx="2444794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843" cy="777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5DB5E" w14:textId="5849ED2E" w:rsidR="00744A07" w:rsidRDefault="00744A07" w:rsidP="00744A07">
    <w:pPr>
      <w:pStyle w:val="Intestazione"/>
      <w:jc w:val="right"/>
    </w:pPr>
  </w:p>
  <w:p w14:paraId="271CE32A" w14:textId="77777777" w:rsidR="00936831" w:rsidRDefault="00936831" w:rsidP="00744A0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0284"/>
    <w:multiLevelType w:val="multilevel"/>
    <w:tmpl w:val="7EA86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2047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17"/>
    <w:rsid w:val="00016CFD"/>
    <w:rsid w:val="001C3E56"/>
    <w:rsid w:val="003A10A7"/>
    <w:rsid w:val="004E54A2"/>
    <w:rsid w:val="004E7A3D"/>
    <w:rsid w:val="00744A07"/>
    <w:rsid w:val="008E17EA"/>
    <w:rsid w:val="008E2B17"/>
    <w:rsid w:val="009147AE"/>
    <w:rsid w:val="00936831"/>
    <w:rsid w:val="00A115CB"/>
    <w:rsid w:val="00AE1C85"/>
    <w:rsid w:val="00B23293"/>
    <w:rsid w:val="00B622C1"/>
    <w:rsid w:val="00B930D7"/>
    <w:rsid w:val="00C32889"/>
    <w:rsid w:val="00F4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78A9AC"/>
  <w15:chartTrackingRefBased/>
  <w15:docId w15:val="{7E83AAEE-32D8-4351-AACF-0D8DD5DF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2B1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E2B1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B17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4E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9147A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4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4A07"/>
  </w:style>
  <w:style w:type="paragraph" w:styleId="Pidipagina">
    <w:name w:val="footer"/>
    <w:basedOn w:val="Normale"/>
    <w:link w:val="PidipaginaCarattere"/>
    <w:uiPriority w:val="99"/>
    <w:unhideWhenUsed/>
    <w:rsid w:val="00744A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ovincia.lodi.it/wp-content/uploads/allegato-tecnico-n.-4.pdf" TargetMode="External"/><Relationship Id="rId18" Type="http://schemas.openxmlformats.org/officeDocument/2006/relationships/hyperlink" Target="https://www.provincia.lodi.it/wp-content/uploads/Relazione-Tecnica-Semplificata-4.pdf" TargetMode="External"/><Relationship Id="rId26" Type="http://schemas.openxmlformats.org/officeDocument/2006/relationships/hyperlink" Target="https://www.provincia.lodi.it/wp-content/uploads/Relazione-Tecnica-Semplificata-10.pdf" TargetMode="External"/><Relationship Id="rId39" Type="http://schemas.openxmlformats.org/officeDocument/2006/relationships/hyperlink" Target="https://www.provincia.lodi.it/wp-content/uploads/allegato-tecnico-n.-17.pdf" TargetMode="External"/><Relationship Id="rId21" Type="http://schemas.openxmlformats.org/officeDocument/2006/relationships/hyperlink" Target="https://www.provincia.lodi.it/wp-content/uploads/allegato-tecnico-n.-8.pdf" TargetMode="External"/><Relationship Id="rId34" Type="http://schemas.openxmlformats.org/officeDocument/2006/relationships/hyperlink" Target="https://www.provincia.lodi.it/wp-content/uploads/Relazione-Tecnica-Semplificata-14.pdf" TargetMode="External"/><Relationship Id="rId42" Type="http://schemas.openxmlformats.org/officeDocument/2006/relationships/hyperlink" Target="https://www.provincia.lodi.it/wp-content/uploads/Relazione-Tecnica-Semplificata-18.pdf" TargetMode="External"/><Relationship Id="rId47" Type="http://schemas.openxmlformats.org/officeDocument/2006/relationships/hyperlink" Target="https://www.provincia.lodi.it/wp-content/uploads/allegato-tecnico-n.-21.pdf" TargetMode="External"/><Relationship Id="rId50" Type="http://schemas.openxmlformats.org/officeDocument/2006/relationships/hyperlink" Target="https://www.provincia.lodi.it/wp-content/uploads/Relazione-Tecnica-Semplificata-22.pdf" TargetMode="External"/><Relationship Id="rId55" Type="http://schemas.openxmlformats.org/officeDocument/2006/relationships/hyperlink" Target="https://www.provincia.lodi.it/wp-content/uploads/allegato-tecnico-n.-25.pdf" TargetMode="External"/><Relationship Id="rId63" Type="http://schemas.openxmlformats.org/officeDocument/2006/relationships/hyperlink" Target="https://www.provincia.lodi.it/wp-content/uploads/allegato-tecnico-n.-29.pdf" TargetMode="External"/><Relationship Id="rId68" Type="http://schemas.openxmlformats.org/officeDocument/2006/relationships/hyperlink" Target="https://www.provincia.lodi.it/wp-content/uploads/Relazione-Tecnica-Semplificata-31.pdf" TargetMode="External"/><Relationship Id="rId76" Type="http://schemas.openxmlformats.org/officeDocument/2006/relationships/hyperlink" Target="https://www.provincia.lodi.it/wp-content/uploads/allegato-tecnico-n.-35.pdf" TargetMode="External"/><Relationship Id="rId84" Type="http://schemas.openxmlformats.org/officeDocument/2006/relationships/hyperlink" Target="mailto:silvia.negri@api.lecco.it" TargetMode="External"/><Relationship Id="rId7" Type="http://schemas.openxmlformats.org/officeDocument/2006/relationships/hyperlink" Target="https://www.provincia.lodi.it/wp-content/uploads/allegato-tecnico-n.-1.pdf" TargetMode="External"/><Relationship Id="rId71" Type="http://schemas.openxmlformats.org/officeDocument/2006/relationships/hyperlink" Target="https://www.provincia.lodi.it/wp-content/uploads/Relazione-Tecnica-Semplificata-32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ovincia.lodi.it/wp-content/uploads/Relazione-Tecnica-Semplificata-3.pdf" TargetMode="External"/><Relationship Id="rId29" Type="http://schemas.openxmlformats.org/officeDocument/2006/relationships/hyperlink" Target="https://www.provincia.lodi.it/wp-content/uploads/allegato-tecnico-n.-12.pdf" TargetMode="External"/><Relationship Id="rId11" Type="http://schemas.openxmlformats.org/officeDocument/2006/relationships/hyperlink" Target="https://www.provincia.lodi.it/wp-content/uploads/allegato-tecnico-n.-3.pdf" TargetMode="External"/><Relationship Id="rId24" Type="http://schemas.openxmlformats.org/officeDocument/2006/relationships/hyperlink" Target="https://www.provincia.lodi.it/wp-content/uploads/Relazione-Tecnica-Semplificata-9.pdf" TargetMode="External"/><Relationship Id="rId32" Type="http://schemas.openxmlformats.org/officeDocument/2006/relationships/hyperlink" Target="https://www.provincia.lodi.it/wp-content/uploads/Relazione-Tecnica-Semplificata-13.pdf" TargetMode="External"/><Relationship Id="rId37" Type="http://schemas.openxmlformats.org/officeDocument/2006/relationships/hyperlink" Target="https://www.provincia.lodi.it/wp-content/uploads/allegato-tecnico-n.-16.pdf" TargetMode="External"/><Relationship Id="rId40" Type="http://schemas.openxmlformats.org/officeDocument/2006/relationships/hyperlink" Target="https://www.provincia.lodi.it/wp-content/uploads/Relazione-Tecnica-Semplificata-17.pdf" TargetMode="External"/><Relationship Id="rId45" Type="http://schemas.openxmlformats.org/officeDocument/2006/relationships/hyperlink" Target="https://www.provincia.lodi.it/wp-content/uploads/allegato-tecnico-n.-20.pdf" TargetMode="External"/><Relationship Id="rId53" Type="http://schemas.openxmlformats.org/officeDocument/2006/relationships/hyperlink" Target="https://www.provincia.lodi.it/wp-content/uploads/allegato-tecnico-n.-24.pdf" TargetMode="External"/><Relationship Id="rId58" Type="http://schemas.openxmlformats.org/officeDocument/2006/relationships/hyperlink" Target="https://www.provincia.lodi.it/wp-content/uploads/Relazione-Tecnica-Semplificata-26.pdf" TargetMode="External"/><Relationship Id="rId66" Type="http://schemas.openxmlformats.org/officeDocument/2006/relationships/hyperlink" Target="https://www.provincia.lodi.it/wp-content/uploads/Relazione-Tecnica-Semplificata-30.pdf" TargetMode="External"/><Relationship Id="rId74" Type="http://schemas.openxmlformats.org/officeDocument/2006/relationships/hyperlink" Target="https://www.provincia.lodi.it/wp-content/uploads/allegato-tecnico-n.-34.pdf" TargetMode="External"/><Relationship Id="rId79" Type="http://schemas.openxmlformats.org/officeDocument/2006/relationships/hyperlink" Target="https://www.provincia.lodi.it/wp-content/uploads/Relazione-Tecnica-Semplificata-36.pdf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provincia.lodi.it/wp-content/uploads/allegato-tecnico-n.-28.pdf" TargetMode="External"/><Relationship Id="rId82" Type="http://schemas.openxmlformats.org/officeDocument/2006/relationships/hyperlink" Target="https://www.provincia.lodi.it/wp-content/uploads/allegato-tecnico-n.-38f.pdf" TargetMode="External"/><Relationship Id="rId19" Type="http://schemas.openxmlformats.org/officeDocument/2006/relationships/hyperlink" Target="https://www.provincia.lodi.it/wp-content/uploads/allegato-tecnico-n.-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ovincia.lodi.it/wp-content/uploads/Relazione-Tecnica-Semplificata.pdf" TargetMode="External"/><Relationship Id="rId14" Type="http://schemas.openxmlformats.org/officeDocument/2006/relationships/hyperlink" Target="https://www.provincia.lodi.it/wp-content/uploads/Relazione-Tecnica-Semplificata-2.pdf" TargetMode="External"/><Relationship Id="rId22" Type="http://schemas.openxmlformats.org/officeDocument/2006/relationships/hyperlink" Target="https://www.provincia.lodi.it/wp-content/uploads/Relazione-Tecnica-Semplificata-8.pdf" TargetMode="External"/><Relationship Id="rId27" Type="http://schemas.openxmlformats.org/officeDocument/2006/relationships/hyperlink" Target="https://www.provincia.lodi.it/wp-content/uploads/allegato-tecnico-n.-11.pdf" TargetMode="External"/><Relationship Id="rId30" Type="http://schemas.openxmlformats.org/officeDocument/2006/relationships/hyperlink" Target="https://www.provincia.lodi.it/wp-content/uploads/Relazione-Tecnica-Semplificata-12.pdf" TargetMode="External"/><Relationship Id="rId35" Type="http://schemas.openxmlformats.org/officeDocument/2006/relationships/hyperlink" Target="https://www.provincia.lodi.it/wp-content/uploads/allegato-tecnico-n.-15.pdf" TargetMode="External"/><Relationship Id="rId43" Type="http://schemas.openxmlformats.org/officeDocument/2006/relationships/hyperlink" Target="https://www.provincia.lodi.it/wp-content/uploads/allegato-tecnico-n.-19.pdf" TargetMode="External"/><Relationship Id="rId48" Type="http://schemas.openxmlformats.org/officeDocument/2006/relationships/hyperlink" Target="https://www.provincia.lodi.it/wp-content/uploads/Relazione-Tecnica-Semplificata-21.pdf" TargetMode="External"/><Relationship Id="rId56" Type="http://schemas.openxmlformats.org/officeDocument/2006/relationships/hyperlink" Target="https://www.provincia.lodi.it/wp-content/uploads/Relazione-Tecnica-Semplificata-25.pdf" TargetMode="External"/><Relationship Id="rId64" Type="http://schemas.openxmlformats.org/officeDocument/2006/relationships/hyperlink" Target="https://www.provincia.lodi.it/wp-content/uploads/Relazione-Tecnica-Semplificata-29.pdf" TargetMode="External"/><Relationship Id="rId69" Type="http://schemas.openxmlformats.org/officeDocument/2006/relationships/hyperlink" Target="https://www.provincia.lodi.it/wp-content/uploads/allegato-tecnico-n.-32.pdf" TargetMode="External"/><Relationship Id="rId77" Type="http://schemas.openxmlformats.org/officeDocument/2006/relationships/hyperlink" Target="https://www.provincia.lodi.it/wp-content/uploads/Relazione-Tecnica-Semplificata-35.pdf" TargetMode="External"/><Relationship Id="rId8" Type="http://schemas.openxmlformats.org/officeDocument/2006/relationships/hyperlink" Target="https://www.provincia.lodi.it/wp-content/uploads/allegato-tecnico-n.-2.pdf" TargetMode="External"/><Relationship Id="rId51" Type="http://schemas.openxmlformats.org/officeDocument/2006/relationships/hyperlink" Target="https://www.provincia.lodi.it/wp-content/uploads/allegato-tecnico-n.-23.pdf" TargetMode="External"/><Relationship Id="rId72" Type="http://schemas.openxmlformats.org/officeDocument/2006/relationships/hyperlink" Target="https://www.provincia.lodi.it/wp-content/uploads/allegato-tecnico-n.-33.pdf" TargetMode="External"/><Relationship Id="rId80" Type="http://schemas.openxmlformats.org/officeDocument/2006/relationships/hyperlink" Target="https://www.provincia.lodi.it/wp-content/uploads/allegato-tecnico-n.-37.pdf" TargetMode="External"/><Relationship Id="rId85" Type="http://schemas.openxmlformats.org/officeDocument/2006/relationships/hyperlink" Target="https://www.regione.lombardia.it/wps/portal/istituzionale/HP/DettaglioRedazionale/servizi-e-informazioni/Imprese/Sicurezza-ambientale-e-alimentare/qualita-dell-aria-ed-emissioni-in-atmosfera/autorizzazioni-generali-attivita-in-deroga/autorizzazioni-generali-attivita-in-derog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ovincia.lodi.it/wp-content/uploads/Relazione-Tecnica-Semplificata-1.pdf" TargetMode="External"/><Relationship Id="rId17" Type="http://schemas.openxmlformats.org/officeDocument/2006/relationships/hyperlink" Target="https://www.provincia.lodi.it/wp-content/uploads/allegato-tecnico-n.-6.pdf" TargetMode="External"/><Relationship Id="rId25" Type="http://schemas.openxmlformats.org/officeDocument/2006/relationships/hyperlink" Target="https://www.provincia.lodi.it/wp-content/uploads/allegato-tecnico-n.-10.pdf" TargetMode="External"/><Relationship Id="rId33" Type="http://schemas.openxmlformats.org/officeDocument/2006/relationships/hyperlink" Target="https://www.provincia.lodi.it/wp-content/uploads/allegato-tecnico-n.-14.pdf" TargetMode="External"/><Relationship Id="rId38" Type="http://schemas.openxmlformats.org/officeDocument/2006/relationships/hyperlink" Target="https://www.provincia.lodi.it/wp-content/uploads/Relazione-Tecnica-Semplificata-16.pdf" TargetMode="External"/><Relationship Id="rId46" Type="http://schemas.openxmlformats.org/officeDocument/2006/relationships/hyperlink" Target="https://www.provincia.lodi.it/wp-content/uploads/Relazione-Tecnica-Semplificata-20.pdf" TargetMode="External"/><Relationship Id="rId59" Type="http://schemas.openxmlformats.org/officeDocument/2006/relationships/hyperlink" Target="https://www.provincia.lodi.it/wp-content/uploads/Relazione-Tecnica-Semplificata-27.pdf" TargetMode="External"/><Relationship Id="rId67" Type="http://schemas.openxmlformats.org/officeDocument/2006/relationships/hyperlink" Target="https://www.provincia.lodi.it/wp-content/uploads/allegato-tecnico-n.-31.pdf" TargetMode="External"/><Relationship Id="rId20" Type="http://schemas.openxmlformats.org/officeDocument/2006/relationships/hyperlink" Target="https://www.provincia.lodi.it/wp-content/uploads/Relazione-Tecnica-Semplificata-7.pdf" TargetMode="External"/><Relationship Id="rId41" Type="http://schemas.openxmlformats.org/officeDocument/2006/relationships/hyperlink" Target="https://www.provincia.lodi.it/wp-content/uploads/allegato-tecnico-n.-18.pdf" TargetMode="External"/><Relationship Id="rId54" Type="http://schemas.openxmlformats.org/officeDocument/2006/relationships/hyperlink" Target="https://www.provincia.lodi.it/wp-content/uploads/Relazione-Tecnica-Semplificata-24.pdf" TargetMode="External"/><Relationship Id="rId62" Type="http://schemas.openxmlformats.org/officeDocument/2006/relationships/hyperlink" Target="https://www.provincia.lodi.it/wp-content/uploads/Relazione-Tecnica-Semplificata-28.pdf" TargetMode="External"/><Relationship Id="rId70" Type="http://schemas.openxmlformats.org/officeDocument/2006/relationships/hyperlink" Target="https://www.provincia.lodi.it/wp-content/uploads/Appendice-Allegato-Tecnico-32.pdf" TargetMode="External"/><Relationship Id="rId75" Type="http://schemas.openxmlformats.org/officeDocument/2006/relationships/hyperlink" Target="https://www.provincia.lodi.it/wp-content/uploads/Relazione-Tecnica-Semplificata-34.pdf" TargetMode="External"/><Relationship Id="rId83" Type="http://schemas.openxmlformats.org/officeDocument/2006/relationships/hyperlink" Target="https://www.provincia.lodi.it/wp-content/uploads/Relazione-Tecnica-Semplificata-38.pdf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provincia.lodi.it/wp-content/uploads/allegato-tecnico-n.-5.pdf" TargetMode="External"/><Relationship Id="rId23" Type="http://schemas.openxmlformats.org/officeDocument/2006/relationships/hyperlink" Target="https://www.provincia.lodi.it/wp-content/uploads/allegato-tecnico-n.-9.pdf" TargetMode="External"/><Relationship Id="rId28" Type="http://schemas.openxmlformats.org/officeDocument/2006/relationships/hyperlink" Target="https://www.provincia.lodi.it/wp-content/uploads/Relazione-Tecnica-Semplificata-11.pdf" TargetMode="External"/><Relationship Id="rId36" Type="http://schemas.openxmlformats.org/officeDocument/2006/relationships/hyperlink" Target="https://www.provincia.lodi.it/wp-content/uploads/Relazione-Tecnica-Semplificata-15.pdf" TargetMode="External"/><Relationship Id="rId49" Type="http://schemas.openxmlformats.org/officeDocument/2006/relationships/hyperlink" Target="https://www.provincia.lodi.it/wp-content/uploads/allegato-tecnico-n.-22.pdf" TargetMode="External"/><Relationship Id="rId57" Type="http://schemas.openxmlformats.org/officeDocument/2006/relationships/hyperlink" Target="https://www.provincia.lodi.it/wp-content/uploads/allegato-tecnico-n.-26.pdf" TargetMode="External"/><Relationship Id="rId10" Type="http://schemas.openxmlformats.org/officeDocument/2006/relationships/hyperlink" Target="https://www.provincia.lodi.it/wp-content/uploads/scheda-di-conformit%C3%A0.pdf" TargetMode="External"/><Relationship Id="rId31" Type="http://schemas.openxmlformats.org/officeDocument/2006/relationships/hyperlink" Target="https://www.provincia.lodi.it/wp-content/uploads/allegato-tecnico-n.-13.pdf" TargetMode="External"/><Relationship Id="rId44" Type="http://schemas.openxmlformats.org/officeDocument/2006/relationships/hyperlink" Target="https://www.provincia.lodi.it/wp-content/uploads/Relazione-Tecnica-Semplificata-19.pdf" TargetMode="External"/><Relationship Id="rId52" Type="http://schemas.openxmlformats.org/officeDocument/2006/relationships/hyperlink" Target="https://www.provincia.lodi.it/wp-content/uploads/Relazione-Tecnica-Semplificata-23.pdf" TargetMode="External"/><Relationship Id="rId60" Type="http://schemas.openxmlformats.org/officeDocument/2006/relationships/hyperlink" Target="https://www.provincia.lodi.it/wp-content/uploads/Relazione-Tecnica-Semplificata-27.pdf" TargetMode="External"/><Relationship Id="rId65" Type="http://schemas.openxmlformats.org/officeDocument/2006/relationships/hyperlink" Target="https://www.provincia.lodi.it/wp-content/uploads/allegato-tecnico-n.-30.pdf" TargetMode="External"/><Relationship Id="rId73" Type="http://schemas.openxmlformats.org/officeDocument/2006/relationships/hyperlink" Target="https://www.provincia.lodi.it/wp-content/uploads/Relazione-Tecnica-Semplificata-33.pdf" TargetMode="External"/><Relationship Id="rId78" Type="http://schemas.openxmlformats.org/officeDocument/2006/relationships/hyperlink" Target="https://www.provincia.lodi.it/wp-content/uploads/allegato-tecnico-n.-36.pdf" TargetMode="External"/><Relationship Id="rId81" Type="http://schemas.openxmlformats.org/officeDocument/2006/relationships/hyperlink" Target="https://www.provincia.lodi.it/wp-content/uploads/Relazione-Tecnica-Semplificata-37.pdf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Negri</dc:creator>
  <cp:keywords/>
  <dc:description/>
  <cp:lastModifiedBy>Silvia Negri</cp:lastModifiedBy>
  <cp:revision>10</cp:revision>
  <dcterms:created xsi:type="dcterms:W3CDTF">2023-03-09T09:05:00Z</dcterms:created>
  <dcterms:modified xsi:type="dcterms:W3CDTF">2023-03-09T11:10:00Z</dcterms:modified>
</cp:coreProperties>
</file>