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D013" w14:textId="77777777" w:rsidR="00C95CFC" w:rsidRDefault="00C95CFC" w:rsidP="00AB4F6F">
      <w:pPr>
        <w:shd w:val="clear" w:color="auto" w:fill="FFFFFF"/>
        <w:spacing w:after="225" w:line="360" w:lineRule="auto"/>
        <w:jc w:val="both"/>
        <w:rPr>
          <w:rFonts w:ascii="Times New Roman" w:eastAsia="Times New Roman" w:hAnsi="Times New Roman" w:cs="Times New Roman"/>
          <w:sz w:val="24"/>
          <w:szCs w:val="24"/>
          <w:lang w:eastAsia="it-IT"/>
        </w:rPr>
      </w:pPr>
    </w:p>
    <w:p w14:paraId="6730E434" w14:textId="53EEFC10" w:rsidR="007A19BB" w:rsidRPr="007A19BB" w:rsidRDefault="007A19BB" w:rsidP="00AB4F6F">
      <w:pPr>
        <w:shd w:val="clear" w:color="auto" w:fill="FFFFFF"/>
        <w:spacing w:after="225" w:line="360" w:lineRule="auto"/>
        <w:jc w:val="both"/>
        <w:rPr>
          <w:rFonts w:ascii="Times New Roman" w:eastAsia="Times New Roman" w:hAnsi="Times New Roman" w:cs="Times New Roman"/>
          <w:sz w:val="24"/>
          <w:szCs w:val="24"/>
          <w:lang w:eastAsia="it-IT"/>
        </w:rPr>
      </w:pPr>
      <w:r w:rsidRPr="007A19BB">
        <w:rPr>
          <w:rFonts w:ascii="Times New Roman" w:eastAsia="Times New Roman" w:hAnsi="Times New Roman" w:cs="Times New Roman"/>
          <w:sz w:val="24"/>
          <w:szCs w:val="24"/>
          <w:lang w:eastAsia="it-IT"/>
        </w:rPr>
        <w:t>Il “nuovo” articolo 26 con dettaglio delle modifiche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3"/>
        <w:gridCol w:w="4815"/>
      </w:tblGrid>
      <w:tr w:rsidR="007A19BB" w:rsidRPr="007A19BB" w14:paraId="411291EB" w14:textId="77777777" w:rsidTr="00AB4F6F">
        <w:tc>
          <w:tcPr>
            <w:tcW w:w="9735" w:type="dxa"/>
            <w:gridSpan w:val="2"/>
            <w:tcMar>
              <w:top w:w="300" w:type="dxa"/>
              <w:left w:w="300" w:type="dxa"/>
              <w:bottom w:w="300" w:type="dxa"/>
              <w:right w:w="300" w:type="dxa"/>
            </w:tcMar>
            <w:vAlign w:val="center"/>
            <w:hideMark/>
          </w:tcPr>
          <w:p w14:paraId="59AF9C78"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t>COMMA 1 (invariato)</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i/>
                <w:iCs/>
                <w:sz w:val="24"/>
                <w:szCs w:val="24"/>
                <w:lang w:eastAsia="it-IT"/>
              </w:rPr>
              <w:t>Le disposizioni degli articoli 21 e seguenti devono essere osservate, in relazione al maggiore ammontare, tutte le volte che successivamente all’ emissione della fattura o alla registrazione di cui agli articoli 23 e 24 l’ammontare imponibile di un’operazione o quello della relativa imposta viene ad aumentare per qualsiasi motivo, compresa la rettifica di inesattezze della fatturazione o della registrazione.</w:t>
            </w:r>
          </w:p>
        </w:tc>
      </w:tr>
      <w:tr w:rsidR="007A19BB" w:rsidRPr="007A19BB" w14:paraId="48BA6761" w14:textId="77777777" w:rsidTr="00AB4F6F">
        <w:tc>
          <w:tcPr>
            <w:tcW w:w="4875" w:type="dxa"/>
            <w:tcMar>
              <w:top w:w="300" w:type="dxa"/>
              <w:left w:w="300" w:type="dxa"/>
              <w:bottom w:w="300" w:type="dxa"/>
              <w:right w:w="300" w:type="dxa"/>
            </w:tcMar>
            <w:vAlign w:val="center"/>
            <w:hideMark/>
          </w:tcPr>
          <w:p w14:paraId="0074B48C"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t>COMMA 2 (in vigore fino al 25.5.2021)</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i/>
                <w:iCs/>
                <w:sz w:val="24"/>
                <w:szCs w:val="24"/>
                <w:lang w:eastAsia="it-IT"/>
              </w:rPr>
              <w:t>Se un’operazione per la quale sia stata emessa fattura, successivamente alla registrazione di cui agli articoli 23 e 24, viene meno in tutto o in parte, o se ne riduce l’ammontare imponibile, in conseguenza di dichiarazione di nullità, annullamento, revoca, risoluzione, rescissione e simili </w:t>
            </w:r>
            <w:r w:rsidRPr="007A19BB">
              <w:rPr>
                <w:rFonts w:ascii="Times New Roman" w:eastAsia="Times New Roman" w:hAnsi="Times New Roman" w:cs="Times New Roman"/>
                <w:b/>
                <w:bCs/>
                <w:i/>
                <w:iCs/>
                <w:sz w:val="24"/>
                <w:szCs w:val="24"/>
                <w:lang w:eastAsia="it-IT"/>
              </w:rPr>
              <w:t>o per mancato pagamento in tutto o in parte a causa di procedure concorsuali o di procedure esecutive individuali rimaste infruttuose o a seguito di un accordo di ristrutturazione dei debiti omologato ai sensi dell’articolo 182-bis del regio decreto 16 marzo 1942, n. 267, ovvero di un piano attestato ai sensi dell’articolo 67, terzo comma, lettera d), del medesimo regio decreto n. 267 del 1942, pubblicato nel registro delle imprese </w:t>
            </w:r>
            <w:r w:rsidRPr="007A19BB">
              <w:rPr>
                <w:rFonts w:ascii="Times New Roman" w:eastAsia="Times New Roman" w:hAnsi="Times New Roman" w:cs="Times New Roman"/>
                <w:i/>
                <w:iCs/>
                <w:sz w:val="24"/>
                <w:szCs w:val="24"/>
                <w:lang w:eastAsia="it-IT"/>
              </w:rPr>
              <w:t>o in conseguenza dell’applicazione di abbuoni o sconti previsti contrattualmente, il cedente del bene o prestatore del servizio ha diritto di portare in detrazione ai sensi dell’articolo 19 l’imposta corrispondente alla variazione, registrandola a norma dell’articolo 25.</w:t>
            </w:r>
          </w:p>
        </w:tc>
        <w:tc>
          <w:tcPr>
            <w:tcW w:w="4875" w:type="dxa"/>
            <w:tcMar>
              <w:top w:w="300" w:type="dxa"/>
              <w:left w:w="300" w:type="dxa"/>
              <w:bottom w:w="300" w:type="dxa"/>
              <w:right w:w="300" w:type="dxa"/>
            </w:tcMar>
            <w:vAlign w:val="center"/>
            <w:hideMark/>
          </w:tcPr>
          <w:p w14:paraId="183F1FFA"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t>COMMA 2 (in vigore dal 26.5.2021)</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i/>
                <w:iCs/>
                <w:sz w:val="24"/>
                <w:szCs w:val="24"/>
                <w:lang w:eastAsia="it-IT"/>
              </w:rPr>
              <w:t>Se un’operazione per la quale sia stata emessa fattura, successivamente alla registrazione di cui agli articoli 23 e 24, viene meno in tutto o in parte, o se ne riduce l’ammontare imponibile, in conseguenza di dichiarazione di nullità, annullamento, revoca, risoluzione, rescissione e simili o in conseguenza dell’applicazione di abbuoni o sconti previsti contrattualmente, il cedente del bene o</w:t>
            </w:r>
            <w:r w:rsidRPr="007A19BB">
              <w:rPr>
                <w:rFonts w:ascii="Times New Roman" w:eastAsia="Times New Roman" w:hAnsi="Times New Roman" w:cs="Times New Roman"/>
                <w:sz w:val="24"/>
                <w:szCs w:val="24"/>
                <w:lang w:eastAsia="it-IT"/>
              </w:rPr>
              <w:t> </w:t>
            </w:r>
            <w:r w:rsidRPr="007A19BB">
              <w:rPr>
                <w:rFonts w:ascii="Times New Roman" w:eastAsia="Times New Roman" w:hAnsi="Times New Roman" w:cs="Times New Roman"/>
                <w:i/>
                <w:iCs/>
                <w:sz w:val="24"/>
                <w:szCs w:val="24"/>
                <w:lang w:eastAsia="it-IT"/>
              </w:rPr>
              <w:t>prestatore del servizio ha diritto di portare in detrazione ai sensi dell’articolo 19 l’imposta corrispondente alla variazione, registrandola a norma dell’articolo 25.</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b/>
                <w:bCs/>
                <w:sz w:val="24"/>
                <w:szCs w:val="24"/>
                <w:lang w:eastAsia="it-IT"/>
              </w:rPr>
              <w:t> </w:t>
            </w:r>
          </w:p>
        </w:tc>
      </w:tr>
      <w:tr w:rsidR="007A19BB" w:rsidRPr="007A19BB" w14:paraId="1498085F" w14:textId="77777777" w:rsidTr="00AB4F6F">
        <w:tc>
          <w:tcPr>
            <w:tcW w:w="9735" w:type="dxa"/>
            <w:gridSpan w:val="2"/>
            <w:tcMar>
              <w:top w:w="300" w:type="dxa"/>
              <w:left w:w="300" w:type="dxa"/>
              <w:bottom w:w="300" w:type="dxa"/>
              <w:right w:w="300" w:type="dxa"/>
            </w:tcMar>
            <w:vAlign w:val="center"/>
            <w:hideMark/>
          </w:tcPr>
          <w:p w14:paraId="321CC400"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t>COMMA 3 (invariato)</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i/>
                <w:iCs/>
                <w:sz w:val="24"/>
                <w:szCs w:val="24"/>
                <w:lang w:eastAsia="it-IT"/>
              </w:rPr>
              <w:t xml:space="preserve">La disposizione di cui al comma 2 non può essere applicata dopo il decorso di un anno dall’effettuazione dell’operazione imponibile qualora gli eventi ivi indicati si verifichino in </w:t>
            </w:r>
            <w:r w:rsidRPr="007A19BB">
              <w:rPr>
                <w:rFonts w:ascii="Times New Roman" w:eastAsia="Times New Roman" w:hAnsi="Times New Roman" w:cs="Times New Roman"/>
                <w:i/>
                <w:iCs/>
                <w:sz w:val="24"/>
                <w:szCs w:val="24"/>
                <w:lang w:eastAsia="it-IT"/>
              </w:rPr>
              <w:lastRenderedPageBreak/>
              <w:t>dipendenza di sopravvenuto accordo fra le parti e può’ essere applicata, entro lo stesso termine, anche in caso di rettifica di inesattezze della fatturazione che abbiano dato luogo all’applicazione dell’articolo 21, comma 7.</w:t>
            </w:r>
          </w:p>
        </w:tc>
      </w:tr>
      <w:tr w:rsidR="007A19BB" w:rsidRPr="007A19BB" w14:paraId="57C3F3AA" w14:textId="77777777" w:rsidTr="00AB4F6F">
        <w:tc>
          <w:tcPr>
            <w:tcW w:w="9735" w:type="dxa"/>
            <w:gridSpan w:val="2"/>
            <w:tcMar>
              <w:top w:w="300" w:type="dxa"/>
              <w:left w:w="300" w:type="dxa"/>
              <w:bottom w:w="300" w:type="dxa"/>
              <w:right w:w="300" w:type="dxa"/>
            </w:tcMar>
            <w:vAlign w:val="center"/>
            <w:hideMark/>
          </w:tcPr>
          <w:p w14:paraId="2785EC38"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lastRenderedPageBreak/>
              <w:t>COMMA 3-BIS (in vigore dal 26.5.2021)</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b/>
                <w:bCs/>
                <w:i/>
                <w:iCs/>
                <w:sz w:val="24"/>
                <w:szCs w:val="24"/>
                <w:lang w:eastAsia="it-IT"/>
              </w:rPr>
              <w:t>La disposizione di cui al comma 2 si applica anche in caso di mancato pagamento del corrispettivo, in tutto o in parte, da parte del cessionario o committente:</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b/>
                <w:bCs/>
                <w:i/>
                <w:iCs/>
                <w:sz w:val="24"/>
                <w:szCs w:val="24"/>
                <w:lang w:eastAsia="it-IT"/>
              </w:rPr>
              <w:t>a) a partire dalla data in cui quest’ultimo è assoggettato a una procedura concorsuale o dalla data del decreto che omologa un accordo di ristrutturazione dei debiti di cui all’articolo 182-bis del Regio Decreto 16 marzo 1942, n. 267, o dalla data di pubblicazione nel registro delle imprese di un piano attestato ai sensi dell’articolo 67, terzo comma, lettera d), del regio decreto 16 marzo 1942, n. 267;</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b/>
                <w:bCs/>
                <w:i/>
                <w:iCs/>
                <w:sz w:val="24"/>
                <w:szCs w:val="24"/>
                <w:lang w:eastAsia="it-IT"/>
              </w:rPr>
              <w:t>b) a causa di procedure esecutive individuali rimaste infruttuose.</w:t>
            </w:r>
          </w:p>
        </w:tc>
      </w:tr>
      <w:tr w:rsidR="007A19BB" w:rsidRPr="007A19BB" w14:paraId="088BB24B" w14:textId="77777777" w:rsidTr="00AB4F6F">
        <w:tc>
          <w:tcPr>
            <w:tcW w:w="9735" w:type="dxa"/>
            <w:gridSpan w:val="2"/>
            <w:tcMar>
              <w:top w:w="300" w:type="dxa"/>
              <w:left w:w="300" w:type="dxa"/>
              <w:bottom w:w="300" w:type="dxa"/>
              <w:right w:w="300" w:type="dxa"/>
            </w:tcMar>
            <w:vAlign w:val="center"/>
            <w:hideMark/>
          </w:tcPr>
          <w:p w14:paraId="13679A00"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t>COMMA 4 (già abrogato)</w:t>
            </w:r>
          </w:p>
        </w:tc>
      </w:tr>
      <w:tr w:rsidR="007A19BB" w:rsidRPr="007A19BB" w14:paraId="69B659A7" w14:textId="77777777" w:rsidTr="00AB4F6F">
        <w:tc>
          <w:tcPr>
            <w:tcW w:w="4875" w:type="dxa"/>
            <w:tcMar>
              <w:top w:w="300" w:type="dxa"/>
              <w:left w:w="300" w:type="dxa"/>
              <w:bottom w:w="300" w:type="dxa"/>
              <w:right w:w="300" w:type="dxa"/>
            </w:tcMar>
            <w:vAlign w:val="center"/>
            <w:hideMark/>
          </w:tcPr>
          <w:p w14:paraId="724394E0"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t>COMMA 5 (in vigore fino al 25.5.2021)</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i/>
                <w:iCs/>
                <w:sz w:val="24"/>
                <w:szCs w:val="24"/>
                <w:lang w:eastAsia="it-IT"/>
              </w:rPr>
              <w:t>Ove il cedente o prestatore si avvalga della facoltà di cui al comma 2, il cessionario o committente, che abbia già registrato l’operazione ai sensi dell’articolo 25, deve in tal caso registrare la variazione a norma dell’articolo 23 o dell’articolo 24, nei limiti della detrazione operata, salvo il suo diritto alla restituzione dell’importo pagato al cedente o prestatore a titolo di rivalsa.  </w:t>
            </w:r>
          </w:p>
        </w:tc>
        <w:tc>
          <w:tcPr>
            <w:tcW w:w="4875" w:type="dxa"/>
            <w:tcMar>
              <w:top w:w="300" w:type="dxa"/>
              <w:left w:w="300" w:type="dxa"/>
              <w:bottom w:w="300" w:type="dxa"/>
              <w:right w:w="300" w:type="dxa"/>
            </w:tcMar>
            <w:vAlign w:val="center"/>
            <w:hideMark/>
          </w:tcPr>
          <w:p w14:paraId="25B346F8"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t>COMMA 5 (in vigore dal 26.5.2021)</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i/>
                <w:iCs/>
                <w:sz w:val="24"/>
                <w:szCs w:val="24"/>
                <w:lang w:eastAsia="it-IT"/>
              </w:rPr>
              <w:t>Ove il cedente o prestatore si avvalga della facoltà di cui al comma 2, il cessionario o committente, che abbia già registrato l’operazione ai sensi dell’articolo 25, deve in tal caso registrare la variazione a norma dell’articolo 23 o dell’articolo 24, nei limiti della detrazione operata, salvo il suo diritto alla restituzione dell’importo pagato al cedente o prestatore a titolo di rivalsa. </w:t>
            </w:r>
            <w:r w:rsidRPr="007A19BB">
              <w:rPr>
                <w:rFonts w:ascii="Times New Roman" w:eastAsia="Times New Roman" w:hAnsi="Times New Roman" w:cs="Times New Roman"/>
                <w:b/>
                <w:bCs/>
                <w:i/>
                <w:iCs/>
                <w:sz w:val="24"/>
                <w:szCs w:val="24"/>
                <w:lang w:eastAsia="it-IT"/>
              </w:rPr>
              <w:t>L’obbligo di cui al primo periodo non si applica nel caso di procedure concorsuali di cui al comma 3-bis, lettera a).</w:t>
            </w:r>
          </w:p>
        </w:tc>
      </w:tr>
      <w:tr w:rsidR="007A19BB" w:rsidRPr="007A19BB" w14:paraId="23646FF4" w14:textId="77777777" w:rsidTr="00AB4F6F">
        <w:tc>
          <w:tcPr>
            <w:tcW w:w="9735" w:type="dxa"/>
            <w:gridSpan w:val="2"/>
            <w:tcMar>
              <w:top w:w="300" w:type="dxa"/>
              <w:left w:w="300" w:type="dxa"/>
              <w:bottom w:w="300" w:type="dxa"/>
              <w:right w:w="300" w:type="dxa"/>
            </w:tcMar>
            <w:vAlign w:val="center"/>
            <w:hideMark/>
          </w:tcPr>
          <w:p w14:paraId="139A5967"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t>COMMA 5-BIS (in vigore dal 26.5.2021)</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b/>
                <w:bCs/>
                <w:i/>
                <w:iCs/>
                <w:sz w:val="24"/>
                <w:szCs w:val="24"/>
                <w:lang w:eastAsia="it-IT"/>
              </w:rPr>
              <w:t xml:space="preserve">Nel caso in cui, successivamente agli eventi di cui al comma 3-bis, il corrispettivo sia pagato, in tutto o in parte, si applica la disposizione di cui al comma 1. In tal caso, il cessionario o committente che abbia assolto all’obbligo di cui al comma 5 ha diritto di </w:t>
            </w:r>
            <w:r w:rsidRPr="007A19BB">
              <w:rPr>
                <w:rFonts w:ascii="Times New Roman" w:eastAsia="Times New Roman" w:hAnsi="Times New Roman" w:cs="Times New Roman"/>
                <w:b/>
                <w:bCs/>
                <w:i/>
                <w:iCs/>
                <w:sz w:val="24"/>
                <w:szCs w:val="24"/>
                <w:lang w:eastAsia="it-IT"/>
              </w:rPr>
              <w:lastRenderedPageBreak/>
              <w:t>portare in detrazione ai sensi dell’articolo 19 l’imposta corrispondente alla variazione in aumento</w:t>
            </w:r>
            <w:r w:rsidRPr="007A19BB">
              <w:rPr>
                <w:rFonts w:ascii="Times New Roman" w:eastAsia="Times New Roman" w:hAnsi="Times New Roman" w:cs="Times New Roman"/>
                <w:i/>
                <w:iCs/>
                <w:sz w:val="24"/>
                <w:szCs w:val="24"/>
                <w:lang w:eastAsia="it-IT"/>
              </w:rPr>
              <w:t>.</w:t>
            </w:r>
          </w:p>
        </w:tc>
      </w:tr>
      <w:tr w:rsidR="007A19BB" w:rsidRPr="007A19BB" w14:paraId="0FEDE844" w14:textId="77777777" w:rsidTr="00AB4F6F">
        <w:tc>
          <w:tcPr>
            <w:tcW w:w="9735" w:type="dxa"/>
            <w:gridSpan w:val="2"/>
            <w:tcMar>
              <w:top w:w="300" w:type="dxa"/>
              <w:left w:w="300" w:type="dxa"/>
              <w:bottom w:w="300" w:type="dxa"/>
              <w:right w:w="300" w:type="dxa"/>
            </w:tcMar>
            <w:vAlign w:val="center"/>
            <w:hideMark/>
          </w:tcPr>
          <w:p w14:paraId="5F27AB92"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lastRenderedPageBreak/>
              <w:t>COMMA 6 (già abrogato)</w:t>
            </w:r>
          </w:p>
        </w:tc>
      </w:tr>
      <w:tr w:rsidR="007A19BB" w:rsidRPr="007A19BB" w14:paraId="1A1E268B" w14:textId="77777777" w:rsidTr="00AB4F6F">
        <w:tc>
          <w:tcPr>
            <w:tcW w:w="9735" w:type="dxa"/>
            <w:gridSpan w:val="2"/>
            <w:tcMar>
              <w:top w:w="300" w:type="dxa"/>
              <w:left w:w="300" w:type="dxa"/>
              <w:bottom w:w="300" w:type="dxa"/>
              <w:right w:w="300" w:type="dxa"/>
            </w:tcMar>
            <w:vAlign w:val="center"/>
            <w:hideMark/>
          </w:tcPr>
          <w:p w14:paraId="34F44595"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t>COMMA 7</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i/>
                <w:iCs/>
                <w:sz w:val="24"/>
                <w:szCs w:val="24"/>
                <w:lang w:eastAsia="it-IT"/>
              </w:rPr>
              <w:t>La correzione di errori materiali o di calcolo nelle registrazioni di cui agli articoli 23, 25 e 39 e nelle liquidazioni periodiche di cui all’articolo 27, all’articolo 1 del regolamento di cui al decreto del Presidente della Repubblica 23 marzo 1998, n. 100, e successive modificazioni, e all’articolo 7 del regolamento di cui al decreto del Presidente della Repubblica 14 ottobre 1999, n. 542, e successive modificazioni, deve essere fatta, mediante annotazione delle variazioni dell’imposta in aumento nel registro di cui all’articolo 23 e delle variazioni dell’imposta in diminuzione nel registro di cui all’articolo 25. Con le stesse modalità devono essere corretti, nel registro di cui all’articolo 24, gli errori materiali inerenti alla trascrizione di dati indicati nelle fatture o nei registri tenuti a norma di legge.</w:t>
            </w:r>
          </w:p>
        </w:tc>
      </w:tr>
      <w:tr w:rsidR="007A19BB" w:rsidRPr="007A19BB" w14:paraId="4D301457" w14:textId="77777777" w:rsidTr="00AB4F6F">
        <w:tc>
          <w:tcPr>
            <w:tcW w:w="4875" w:type="dxa"/>
            <w:tcMar>
              <w:top w:w="300" w:type="dxa"/>
              <w:left w:w="300" w:type="dxa"/>
              <w:bottom w:w="300" w:type="dxa"/>
              <w:right w:w="300" w:type="dxa"/>
            </w:tcMar>
            <w:vAlign w:val="center"/>
            <w:hideMark/>
          </w:tcPr>
          <w:p w14:paraId="11B96BEE"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t>COMMA 8 (in vigore fino al 25.5.2021)</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i/>
                <w:iCs/>
                <w:sz w:val="24"/>
                <w:szCs w:val="24"/>
                <w:lang w:eastAsia="it-IT"/>
              </w:rPr>
              <w:t>Le variazioni </w:t>
            </w:r>
            <w:r w:rsidRPr="007A19BB">
              <w:rPr>
                <w:rFonts w:ascii="Times New Roman" w:eastAsia="Times New Roman" w:hAnsi="Times New Roman" w:cs="Times New Roman"/>
                <w:b/>
                <w:bCs/>
                <w:i/>
                <w:iCs/>
                <w:sz w:val="24"/>
                <w:szCs w:val="24"/>
                <w:lang w:eastAsia="it-IT"/>
              </w:rPr>
              <w:t>di cui ai commi 2, 3 e 5 </w:t>
            </w:r>
            <w:r w:rsidRPr="007A19BB">
              <w:rPr>
                <w:rFonts w:ascii="Times New Roman" w:eastAsia="Times New Roman" w:hAnsi="Times New Roman" w:cs="Times New Roman"/>
                <w:i/>
                <w:iCs/>
                <w:sz w:val="24"/>
                <w:szCs w:val="24"/>
                <w:lang w:eastAsia="it-IT"/>
              </w:rPr>
              <w:t>e quelle per errori di registrazione di cui al comma 7 possono essere effettuate dal cedente o prestatore del servizio e dal cessionario o committente anche mediante apposite annotazioni in rettifica rispettivamente sui registri di cui agli articoli 23 e 24 e sul registro di cui all’articolo 25.</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b/>
                <w:bCs/>
                <w:sz w:val="24"/>
                <w:szCs w:val="24"/>
                <w:lang w:eastAsia="it-IT"/>
              </w:rPr>
              <w:t> </w:t>
            </w:r>
          </w:p>
        </w:tc>
        <w:tc>
          <w:tcPr>
            <w:tcW w:w="4875" w:type="dxa"/>
            <w:tcMar>
              <w:top w:w="300" w:type="dxa"/>
              <w:left w:w="300" w:type="dxa"/>
              <w:bottom w:w="300" w:type="dxa"/>
              <w:right w:w="300" w:type="dxa"/>
            </w:tcMar>
            <w:vAlign w:val="center"/>
            <w:hideMark/>
          </w:tcPr>
          <w:p w14:paraId="116E3D3D"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t>COMMA 8 (in vigore dal 26.5.2021)</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i/>
                <w:iCs/>
                <w:sz w:val="24"/>
                <w:szCs w:val="24"/>
                <w:lang w:eastAsia="it-IT"/>
              </w:rPr>
              <w:t>Le variazioni </w:t>
            </w:r>
            <w:r w:rsidRPr="007A19BB">
              <w:rPr>
                <w:rFonts w:ascii="Times New Roman" w:eastAsia="Times New Roman" w:hAnsi="Times New Roman" w:cs="Times New Roman"/>
                <w:b/>
                <w:bCs/>
                <w:i/>
                <w:iCs/>
                <w:sz w:val="24"/>
                <w:szCs w:val="24"/>
                <w:lang w:eastAsia="it-IT"/>
              </w:rPr>
              <w:t>di cui ai commi 2, 3, 3-bis e 5</w:t>
            </w:r>
            <w:r w:rsidRPr="007A19BB">
              <w:rPr>
                <w:rFonts w:ascii="Times New Roman" w:eastAsia="Times New Roman" w:hAnsi="Times New Roman" w:cs="Times New Roman"/>
                <w:i/>
                <w:iCs/>
                <w:sz w:val="24"/>
                <w:szCs w:val="24"/>
                <w:lang w:eastAsia="it-IT"/>
              </w:rPr>
              <w:t> e quelle per errori di registrazione di cui al comma 7 possono essere effettuate dal cedente o prestatore del servizio e dal cessionario o committente anche mediante apposite annotazioni in rettifica rispettivamente sui registri di cui agli articoli 23 e 24 e sul registro di cui all’articolo 25.</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b/>
                <w:bCs/>
                <w:sz w:val="24"/>
                <w:szCs w:val="24"/>
                <w:lang w:eastAsia="it-IT"/>
              </w:rPr>
              <w:t> </w:t>
            </w:r>
          </w:p>
        </w:tc>
      </w:tr>
      <w:tr w:rsidR="007A19BB" w:rsidRPr="007A19BB" w14:paraId="53F12D19" w14:textId="77777777" w:rsidTr="00AB4F6F">
        <w:tc>
          <w:tcPr>
            <w:tcW w:w="9735" w:type="dxa"/>
            <w:gridSpan w:val="2"/>
            <w:tcMar>
              <w:top w:w="300" w:type="dxa"/>
              <w:left w:w="300" w:type="dxa"/>
              <w:bottom w:w="300" w:type="dxa"/>
              <w:right w:w="300" w:type="dxa"/>
            </w:tcMar>
            <w:vAlign w:val="center"/>
            <w:hideMark/>
          </w:tcPr>
          <w:p w14:paraId="48893CE0"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t>COMMA 9</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i/>
                <w:iCs/>
                <w:sz w:val="24"/>
                <w:szCs w:val="24"/>
                <w:lang w:eastAsia="it-IT"/>
              </w:rPr>
              <w:t>Nel caso di risoluzione contrattuale, relativa a contratti a esecuzione continuata o periodica, conseguente a inadempimento, la facoltà di cui al comma 2 non si estende a quelle cessioni e a quelle prestazioni per cui sia il cedente o prestatore che il cessionario o committente abbiano correttamente adempiuto alle proprie obbligazioni.</w:t>
            </w:r>
          </w:p>
        </w:tc>
      </w:tr>
      <w:tr w:rsidR="007A19BB" w:rsidRPr="007A19BB" w14:paraId="71E3AAD1" w14:textId="77777777" w:rsidTr="00AB4F6F">
        <w:tc>
          <w:tcPr>
            <w:tcW w:w="9735" w:type="dxa"/>
            <w:gridSpan w:val="2"/>
            <w:tcMar>
              <w:top w:w="300" w:type="dxa"/>
              <w:left w:w="300" w:type="dxa"/>
              <w:bottom w:w="300" w:type="dxa"/>
              <w:right w:w="300" w:type="dxa"/>
            </w:tcMar>
            <w:vAlign w:val="center"/>
            <w:hideMark/>
          </w:tcPr>
          <w:p w14:paraId="665BFC1C"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lastRenderedPageBreak/>
              <w:t>COMMA 10</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i/>
                <w:iCs/>
                <w:sz w:val="24"/>
                <w:szCs w:val="24"/>
                <w:lang w:eastAsia="it-IT"/>
              </w:rPr>
              <w:t>La facoltà di cui al comma 2 può essere esercitata, ricorrendo i presupposti di cui a tale disposizione, anche dai cessionari e committenti debitori dell’imposta ai sensi dell’articolo 17 o dell’articolo 74 del presente decreto ovvero dell’articolo 44 del decreto-legge 30 agosto 1993, n. 331, convertito, con modificazioni, dalla legge 29 ottobre 1993, n. 427, e successive modificazioni. In tal caso, si applica ai cessionari o committenti la disposizione di cui al comma 5.</w:t>
            </w:r>
          </w:p>
        </w:tc>
      </w:tr>
      <w:tr w:rsidR="007A19BB" w:rsidRPr="007A19BB" w14:paraId="6107F0DC" w14:textId="77777777" w:rsidTr="00AB4F6F">
        <w:tc>
          <w:tcPr>
            <w:tcW w:w="9735" w:type="dxa"/>
            <w:gridSpan w:val="2"/>
            <w:tcMar>
              <w:top w:w="300" w:type="dxa"/>
              <w:left w:w="300" w:type="dxa"/>
              <w:bottom w:w="300" w:type="dxa"/>
              <w:right w:w="300" w:type="dxa"/>
            </w:tcMar>
            <w:vAlign w:val="center"/>
            <w:hideMark/>
          </w:tcPr>
          <w:p w14:paraId="461CFC4D"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t>COMMA 10-BIS (in vigore dal 26.5.2021)</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b/>
                <w:bCs/>
                <w:i/>
                <w:iCs/>
                <w:sz w:val="24"/>
                <w:szCs w:val="24"/>
                <w:lang w:eastAsia="it-IT"/>
              </w:rPr>
              <w:t>Ai fini del comma 3-bis, lettera a), il debitore si considera assoggettato a procedura concorsuale dalla data della sentenza dichiarativa del fallimento o del provvedimento che ordina la liquidazione coatta amministrativa o del decreto di ammissione alla procedura di concordato preventivo o del decreto che dispone la procedura di amministrazione straordinaria delle grandi imprese in crisi.</w:t>
            </w:r>
          </w:p>
        </w:tc>
      </w:tr>
      <w:tr w:rsidR="007A19BB" w:rsidRPr="007A19BB" w14:paraId="652631A7" w14:textId="77777777" w:rsidTr="00AB4F6F">
        <w:tc>
          <w:tcPr>
            <w:tcW w:w="9735" w:type="dxa"/>
            <w:gridSpan w:val="2"/>
            <w:tcMar>
              <w:top w:w="300" w:type="dxa"/>
              <w:left w:w="300" w:type="dxa"/>
              <w:bottom w:w="300" w:type="dxa"/>
              <w:right w:w="300" w:type="dxa"/>
            </w:tcMar>
            <w:vAlign w:val="center"/>
            <w:hideMark/>
          </w:tcPr>
          <w:p w14:paraId="08B00E6D"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t>COMMA 11 (già abrogato)</w:t>
            </w:r>
          </w:p>
        </w:tc>
      </w:tr>
      <w:tr w:rsidR="007A19BB" w:rsidRPr="007A19BB" w14:paraId="4AC96142" w14:textId="77777777" w:rsidTr="00AB4F6F">
        <w:tc>
          <w:tcPr>
            <w:tcW w:w="4875" w:type="dxa"/>
            <w:tcMar>
              <w:top w:w="300" w:type="dxa"/>
              <w:left w:w="300" w:type="dxa"/>
              <w:bottom w:w="300" w:type="dxa"/>
              <w:right w:w="300" w:type="dxa"/>
            </w:tcMar>
            <w:vAlign w:val="center"/>
            <w:hideMark/>
          </w:tcPr>
          <w:p w14:paraId="054BCD81"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t>COMMA 12 (in vigore fino al 25.5.2021)</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b/>
                <w:bCs/>
                <w:i/>
                <w:iCs/>
                <w:sz w:val="24"/>
                <w:szCs w:val="24"/>
                <w:lang w:eastAsia="it-IT"/>
              </w:rPr>
              <w:t>Ai fini del comma 2</w:t>
            </w:r>
            <w:r w:rsidRPr="007A19BB">
              <w:rPr>
                <w:rFonts w:ascii="Times New Roman" w:eastAsia="Times New Roman" w:hAnsi="Times New Roman" w:cs="Times New Roman"/>
                <w:i/>
                <w:iCs/>
                <w:sz w:val="24"/>
                <w:szCs w:val="24"/>
                <w:lang w:eastAsia="it-IT"/>
              </w:rPr>
              <w:t> una procedura esecutiva individuale si considera in ogni caso infruttuosa:</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i/>
                <w:iCs/>
                <w:sz w:val="24"/>
                <w:szCs w:val="24"/>
                <w:lang w:eastAsia="it-IT"/>
              </w:rPr>
              <w:t>a) nell’ipotesi di pignoramento presso terzi, quando dal verbale di pignoramento redatto dall’ufficiale giudiziario risulti che presso il terzo pignorato non vi sono beni o crediti da pignorare;</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i/>
                <w:iCs/>
                <w:sz w:val="24"/>
                <w:szCs w:val="24"/>
                <w:lang w:eastAsia="it-IT"/>
              </w:rPr>
              <w:t>b) nell’ipotesi di pignoramento di beni mobili, quando dal verbale di pignoramento redatto dall’ufficiale giudiziario risulti la mancanza di beni da pignorare ovvero l’impossibilità di accesso al domicilio del debitore ovvero la sua irreperibilità;</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i/>
                <w:iCs/>
                <w:sz w:val="24"/>
                <w:szCs w:val="24"/>
                <w:lang w:eastAsia="it-IT"/>
              </w:rPr>
              <w:t xml:space="preserve">c) nell’ipotesi in cui, dopo che per tre volte l’asta per la vendita del bene pignorato sia andata deserta, si decida di interrompere </w:t>
            </w:r>
            <w:r w:rsidRPr="007A19BB">
              <w:rPr>
                <w:rFonts w:ascii="Times New Roman" w:eastAsia="Times New Roman" w:hAnsi="Times New Roman" w:cs="Times New Roman"/>
                <w:i/>
                <w:iCs/>
                <w:sz w:val="24"/>
                <w:szCs w:val="24"/>
                <w:lang w:eastAsia="it-IT"/>
              </w:rPr>
              <w:lastRenderedPageBreak/>
              <w:t>la procedura esecutiva per eccessiva onerosità.</w:t>
            </w:r>
          </w:p>
        </w:tc>
        <w:tc>
          <w:tcPr>
            <w:tcW w:w="4875" w:type="dxa"/>
            <w:tcMar>
              <w:top w:w="300" w:type="dxa"/>
              <w:left w:w="300" w:type="dxa"/>
              <w:bottom w:w="300" w:type="dxa"/>
              <w:right w:w="300" w:type="dxa"/>
            </w:tcMar>
            <w:vAlign w:val="center"/>
            <w:hideMark/>
          </w:tcPr>
          <w:p w14:paraId="48178EAD" w14:textId="77777777" w:rsidR="007A19BB" w:rsidRPr="007A19BB" w:rsidRDefault="007A19BB" w:rsidP="007A19BB">
            <w:pPr>
              <w:spacing w:before="300" w:after="300" w:line="240" w:lineRule="auto"/>
              <w:rPr>
                <w:rFonts w:ascii="Times New Roman" w:eastAsia="Times New Roman" w:hAnsi="Times New Roman" w:cs="Times New Roman"/>
                <w:sz w:val="24"/>
                <w:szCs w:val="24"/>
                <w:lang w:eastAsia="it-IT"/>
              </w:rPr>
            </w:pPr>
            <w:r w:rsidRPr="007A19BB">
              <w:rPr>
                <w:rFonts w:ascii="Times New Roman" w:eastAsia="Times New Roman" w:hAnsi="Times New Roman" w:cs="Times New Roman"/>
                <w:b/>
                <w:bCs/>
                <w:sz w:val="24"/>
                <w:szCs w:val="24"/>
                <w:lang w:eastAsia="it-IT"/>
              </w:rPr>
              <w:lastRenderedPageBreak/>
              <w:t>COMMA 12 (in vigore dal 26.5.2021)</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b/>
                <w:bCs/>
                <w:i/>
                <w:iCs/>
                <w:sz w:val="24"/>
                <w:szCs w:val="24"/>
                <w:lang w:eastAsia="it-IT"/>
              </w:rPr>
              <w:t>Ai fini del comma 3-bis, lettera b)</w:t>
            </w:r>
            <w:r w:rsidRPr="007A19BB">
              <w:rPr>
                <w:rFonts w:ascii="Times New Roman" w:eastAsia="Times New Roman" w:hAnsi="Times New Roman" w:cs="Times New Roman"/>
                <w:i/>
                <w:iCs/>
                <w:sz w:val="24"/>
                <w:szCs w:val="24"/>
                <w:lang w:eastAsia="it-IT"/>
              </w:rPr>
              <w:t> una procedura esecutiva individuale si considera in ogni caso infruttuosa:</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i/>
                <w:iCs/>
                <w:sz w:val="24"/>
                <w:szCs w:val="24"/>
                <w:lang w:eastAsia="it-IT"/>
              </w:rPr>
              <w:t>a) nell’ipotesi di pignoramento presso terzi, quando dal verbale di pignoramento redatto dall’ufficiale giudiziario risulti che presso il terzo pignorato non vi sono beni o crediti da pignorare;</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i/>
                <w:iCs/>
                <w:sz w:val="24"/>
                <w:szCs w:val="24"/>
                <w:lang w:eastAsia="it-IT"/>
              </w:rPr>
              <w:t>b) nell’ipotesi di pignoramento di beni mobili, quando dal verbale di pignoramento redatto dall’ufficiale giudiziario risulti la mancanza di beni da pignorare ovvero l’impossibilità di accesso al domicilio del debitore ovvero la sua irreperibilità;</w:t>
            </w:r>
            <w:r w:rsidRPr="007A19BB">
              <w:rPr>
                <w:rFonts w:ascii="Times New Roman" w:eastAsia="Times New Roman" w:hAnsi="Times New Roman" w:cs="Times New Roman"/>
                <w:sz w:val="24"/>
                <w:szCs w:val="24"/>
                <w:lang w:eastAsia="it-IT"/>
              </w:rPr>
              <w:br/>
            </w:r>
            <w:r w:rsidRPr="007A19BB">
              <w:rPr>
                <w:rFonts w:ascii="Times New Roman" w:eastAsia="Times New Roman" w:hAnsi="Times New Roman" w:cs="Times New Roman"/>
                <w:i/>
                <w:iCs/>
                <w:sz w:val="24"/>
                <w:szCs w:val="24"/>
                <w:lang w:eastAsia="it-IT"/>
              </w:rPr>
              <w:t xml:space="preserve">c) nell’ipotesi in cui, dopo che per tre volte l’asta per la vendita del bene pignorato sia andata deserta, si decida di interrompere </w:t>
            </w:r>
            <w:r w:rsidRPr="007A19BB">
              <w:rPr>
                <w:rFonts w:ascii="Times New Roman" w:eastAsia="Times New Roman" w:hAnsi="Times New Roman" w:cs="Times New Roman"/>
                <w:i/>
                <w:iCs/>
                <w:sz w:val="24"/>
                <w:szCs w:val="24"/>
                <w:lang w:eastAsia="it-IT"/>
              </w:rPr>
              <w:lastRenderedPageBreak/>
              <w:t>la procedura esecutiva per eccessiva onerosità.</w:t>
            </w:r>
          </w:p>
        </w:tc>
      </w:tr>
    </w:tbl>
    <w:p w14:paraId="2AA4F5B9" w14:textId="77777777" w:rsidR="007A19BB" w:rsidRPr="007A19BB" w:rsidRDefault="007A19BB" w:rsidP="007A19BB">
      <w:pPr>
        <w:shd w:val="clear" w:color="auto" w:fill="FFFFFF"/>
        <w:spacing w:after="225" w:line="240" w:lineRule="auto"/>
        <w:jc w:val="both"/>
        <w:rPr>
          <w:rFonts w:ascii="Roboto" w:eastAsia="Times New Roman" w:hAnsi="Roboto" w:cs="Times New Roman"/>
          <w:color w:val="454545"/>
          <w:sz w:val="24"/>
          <w:szCs w:val="24"/>
          <w:lang w:eastAsia="it-IT"/>
        </w:rPr>
      </w:pPr>
      <w:r w:rsidRPr="007A19BB">
        <w:rPr>
          <w:rFonts w:ascii="Roboto" w:eastAsia="Times New Roman" w:hAnsi="Roboto" w:cs="Times New Roman"/>
          <w:b/>
          <w:bCs/>
          <w:color w:val="454545"/>
          <w:sz w:val="24"/>
          <w:szCs w:val="24"/>
          <w:lang w:eastAsia="it-IT"/>
        </w:rPr>
        <w:lastRenderedPageBreak/>
        <w:t> </w:t>
      </w:r>
    </w:p>
    <w:p w14:paraId="09488A52" w14:textId="77777777" w:rsidR="000E103F" w:rsidRPr="007A19BB" w:rsidRDefault="000E103F" w:rsidP="007A19BB"/>
    <w:sectPr w:rsidR="000E103F" w:rsidRPr="007A19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E0848"/>
    <w:multiLevelType w:val="multilevel"/>
    <w:tmpl w:val="DC9C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990399"/>
    <w:multiLevelType w:val="multilevel"/>
    <w:tmpl w:val="8AE4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BB"/>
    <w:rsid w:val="000E103F"/>
    <w:rsid w:val="0051647F"/>
    <w:rsid w:val="007A19BB"/>
    <w:rsid w:val="00A45AB4"/>
    <w:rsid w:val="00AB4F6F"/>
    <w:rsid w:val="00C8552C"/>
    <w:rsid w:val="00C95C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3F1C"/>
  <w15:chartTrackingRefBased/>
  <w15:docId w15:val="{998C0B5A-B544-409A-9B38-63CAE971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A19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A19BB"/>
    <w:rPr>
      <w:rFonts w:ascii="Times New Roman" w:eastAsia="Times New Roman" w:hAnsi="Times New Roman" w:cs="Times New Roman"/>
      <w:b/>
      <w:bCs/>
      <w:kern w:val="36"/>
      <w:sz w:val="48"/>
      <w:szCs w:val="48"/>
      <w:lang w:eastAsia="it-IT"/>
    </w:rPr>
  </w:style>
  <w:style w:type="character" w:customStyle="1" w:styleId="sottotitolo-post">
    <w:name w:val="sottotitolo-post"/>
    <w:basedOn w:val="Carpredefinitoparagrafo"/>
    <w:rsid w:val="007A19BB"/>
  </w:style>
  <w:style w:type="character" w:customStyle="1" w:styleId="autore-post">
    <w:name w:val="autore-post"/>
    <w:basedOn w:val="Carpredefinitoparagrafo"/>
    <w:rsid w:val="007A19BB"/>
  </w:style>
  <w:style w:type="character" w:styleId="Collegamentoipertestuale">
    <w:name w:val="Hyperlink"/>
    <w:basedOn w:val="Carpredefinitoparagrafo"/>
    <w:uiPriority w:val="99"/>
    <w:semiHidden/>
    <w:unhideWhenUsed/>
    <w:rsid w:val="007A19BB"/>
    <w:rPr>
      <w:color w:val="0000FF"/>
      <w:u w:val="single"/>
    </w:rPr>
  </w:style>
  <w:style w:type="paragraph" w:styleId="NormaleWeb">
    <w:name w:val="Normal (Web)"/>
    <w:basedOn w:val="Normale"/>
    <w:uiPriority w:val="99"/>
    <w:semiHidden/>
    <w:unhideWhenUsed/>
    <w:rsid w:val="007A19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A19BB"/>
    <w:rPr>
      <w:b/>
      <w:bCs/>
    </w:rPr>
  </w:style>
  <w:style w:type="character" w:styleId="Enfasicorsivo">
    <w:name w:val="Emphasis"/>
    <w:basedOn w:val="Carpredefinitoparagrafo"/>
    <w:uiPriority w:val="20"/>
    <w:qFormat/>
    <w:rsid w:val="007A1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961448">
      <w:bodyDiv w:val="1"/>
      <w:marLeft w:val="0"/>
      <w:marRight w:val="0"/>
      <w:marTop w:val="0"/>
      <w:marBottom w:val="0"/>
      <w:divBdr>
        <w:top w:val="none" w:sz="0" w:space="0" w:color="auto"/>
        <w:left w:val="none" w:sz="0" w:space="0" w:color="auto"/>
        <w:bottom w:val="none" w:sz="0" w:space="0" w:color="auto"/>
        <w:right w:val="none" w:sz="0" w:space="0" w:color="auto"/>
      </w:divBdr>
      <w:divsChild>
        <w:div w:id="181630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Fumagalli</dc:creator>
  <cp:keywords/>
  <dc:description/>
  <cp:lastModifiedBy>Manuela Sacchi</cp:lastModifiedBy>
  <cp:revision>3</cp:revision>
  <cp:lastPrinted>2021-09-03T07:43:00Z</cp:lastPrinted>
  <dcterms:created xsi:type="dcterms:W3CDTF">2021-09-08T10:33:00Z</dcterms:created>
  <dcterms:modified xsi:type="dcterms:W3CDTF">2021-09-08T10:34:00Z</dcterms:modified>
</cp:coreProperties>
</file>